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3FF3" w14:textId="2CA332A6" w:rsidR="00097AC0" w:rsidRPr="0018643D" w:rsidRDefault="00097AC0" w:rsidP="007C783A">
      <w:pPr>
        <w:pStyle w:val="Title"/>
        <w:rPr>
          <w:rFonts w:cs="Arial"/>
        </w:rPr>
      </w:pPr>
      <w:r w:rsidRPr="0018643D">
        <w:rPr>
          <w:rFonts w:cs="Arial"/>
        </w:rPr>
        <w:t xml:space="preserve">A guide for </w:t>
      </w:r>
      <w:r w:rsidR="00F45DEA" w:rsidRPr="0018643D">
        <w:rPr>
          <w:rFonts w:cs="Arial"/>
        </w:rPr>
        <w:t>GPs</w:t>
      </w:r>
      <w:r w:rsidRPr="0018643D">
        <w:rPr>
          <w:rFonts w:cs="Arial"/>
        </w:rPr>
        <w:t xml:space="preserve"> – </w:t>
      </w:r>
      <w:r w:rsidR="22C3E441" w:rsidRPr="52E06233">
        <w:rPr>
          <w:rFonts w:cs="Arial"/>
        </w:rPr>
        <w:t>r</w:t>
      </w:r>
      <w:r w:rsidRPr="0018643D">
        <w:rPr>
          <w:rFonts w:cs="Arial"/>
        </w:rPr>
        <w:t>eferrals to medical specialists</w:t>
      </w:r>
    </w:p>
    <w:p w14:paraId="439ABAF2" w14:textId="155EFDFC" w:rsidR="00C65A39" w:rsidRPr="0018643D" w:rsidRDefault="00097AC0" w:rsidP="007C783A">
      <w:pPr>
        <w:pStyle w:val="Subtitle"/>
        <w:snapToGrid/>
        <w:spacing w:before="120" w:after="60"/>
        <w:rPr>
          <w:rFonts w:eastAsiaTheme="majorEastAsia" w:cs="Arial"/>
          <w:b w:val="0"/>
          <w:iCs/>
          <w:color w:val="3F4A75"/>
          <w:spacing w:val="15"/>
          <w:szCs w:val="28"/>
        </w:rPr>
      </w:pPr>
      <w:r w:rsidRPr="0018643D">
        <w:rPr>
          <w:rFonts w:eastAsiaTheme="majorEastAsia" w:cs="Arial"/>
          <w:b w:val="0"/>
          <w:iCs/>
          <w:color w:val="3F4A75"/>
          <w:spacing w:val="15"/>
          <w:szCs w:val="28"/>
        </w:rPr>
        <w:t xml:space="preserve">A guide for GPs to help their patients make better informed </w:t>
      </w:r>
      <w:proofErr w:type="gramStart"/>
      <w:r w:rsidRPr="0018643D">
        <w:rPr>
          <w:rFonts w:eastAsiaTheme="majorEastAsia" w:cs="Arial"/>
          <w:b w:val="0"/>
          <w:iCs/>
          <w:color w:val="3F4A75"/>
          <w:spacing w:val="15"/>
          <w:szCs w:val="28"/>
        </w:rPr>
        <w:t>decisions</w:t>
      </w:r>
      <w:proofErr w:type="gramEnd"/>
    </w:p>
    <w:p w14:paraId="152FE501" w14:textId="56807EB1" w:rsidR="00097AC0" w:rsidRPr="0018643D" w:rsidRDefault="00097AC0" w:rsidP="00097AC0">
      <w:pPr>
        <w:rPr>
          <w:rFonts w:cs="Arial"/>
        </w:rPr>
      </w:pPr>
      <w:r w:rsidRPr="0018643D">
        <w:rPr>
          <w:rFonts w:cs="Arial"/>
        </w:rPr>
        <w:t>Good medical practice involves providing patients with the knowledge and understanding to make informed choices regarding their medical care. The A</w:t>
      </w:r>
      <w:r w:rsidR="007F24D7" w:rsidRPr="0018643D">
        <w:rPr>
          <w:rFonts w:cs="Arial"/>
        </w:rPr>
        <w:t xml:space="preserve">ustralian </w:t>
      </w:r>
      <w:r w:rsidRPr="0018643D">
        <w:rPr>
          <w:rFonts w:cs="Arial"/>
        </w:rPr>
        <w:t>M</w:t>
      </w:r>
      <w:r w:rsidR="007F24D7" w:rsidRPr="0018643D">
        <w:rPr>
          <w:rFonts w:cs="Arial"/>
        </w:rPr>
        <w:t xml:space="preserve">edical </w:t>
      </w:r>
      <w:r w:rsidRPr="0018643D">
        <w:rPr>
          <w:rFonts w:cs="Arial"/>
        </w:rPr>
        <w:t>A</w:t>
      </w:r>
      <w:r w:rsidR="007F24D7" w:rsidRPr="0018643D">
        <w:rPr>
          <w:rFonts w:cs="Arial"/>
        </w:rPr>
        <w:t>ssociation</w:t>
      </w:r>
      <w:r w:rsidRPr="0018643D">
        <w:rPr>
          <w:rFonts w:cs="Arial"/>
        </w:rPr>
        <w:t xml:space="preserve"> </w:t>
      </w:r>
      <w:r w:rsidR="001514B8" w:rsidRPr="0018643D">
        <w:rPr>
          <w:rFonts w:cs="Arial"/>
        </w:rPr>
        <w:t xml:space="preserve">(AMA) </w:t>
      </w:r>
      <w:r w:rsidRPr="0018643D">
        <w:rPr>
          <w:rFonts w:cs="Arial"/>
        </w:rPr>
        <w:t xml:space="preserve">also has a </w:t>
      </w:r>
      <w:hyperlink r:id="rId11" w:history="1">
        <w:r w:rsidRPr="0018643D">
          <w:rPr>
            <w:rStyle w:val="Hyperlink"/>
            <w:rFonts w:cs="Arial"/>
          </w:rPr>
          <w:t>guide on informed financial consent</w:t>
        </w:r>
      </w:hyperlink>
      <w:r w:rsidRPr="0018643D">
        <w:rPr>
          <w:rFonts w:cs="Arial"/>
        </w:rPr>
        <w:t xml:space="preserve"> for doctors and patients</w:t>
      </w:r>
      <w:r w:rsidRPr="005229DB">
        <w:rPr>
          <w:rFonts w:cs="Arial"/>
        </w:rPr>
        <w:t>.</w:t>
      </w:r>
      <w:r w:rsidR="00FE2E42" w:rsidRPr="005229DB">
        <w:rPr>
          <w:rFonts w:cs="Arial"/>
          <w:vertAlign w:val="superscript"/>
        </w:rPr>
        <w:t>1</w:t>
      </w:r>
    </w:p>
    <w:p w14:paraId="69710FC8" w14:textId="77777777" w:rsidR="00097AC0" w:rsidRPr="0018643D" w:rsidRDefault="00097AC0" w:rsidP="00097AC0">
      <w:pPr>
        <w:rPr>
          <w:rFonts w:cs="Arial"/>
        </w:rPr>
      </w:pPr>
      <w:r w:rsidRPr="0018643D">
        <w:rPr>
          <w:rFonts w:cs="Arial"/>
        </w:rPr>
        <w:t>Patients who actively engage with their GP in the decision to seek medical specialist services may:</w:t>
      </w:r>
    </w:p>
    <w:p w14:paraId="4C9CB521" w14:textId="75C08F43" w:rsidR="00097AC0" w:rsidRPr="0018643D" w:rsidRDefault="00097AC0" w:rsidP="00097AC0">
      <w:pPr>
        <w:pStyle w:val="ListParagraph"/>
        <w:numPr>
          <w:ilvl w:val="0"/>
          <w:numId w:val="4"/>
        </w:numPr>
        <w:rPr>
          <w:rFonts w:cs="Arial"/>
        </w:rPr>
      </w:pPr>
      <w:r w:rsidRPr="0018643D">
        <w:rPr>
          <w:rFonts w:cs="Arial"/>
        </w:rPr>
        <w:t xml:space="preserve">be more likely to see a specialist and receive appropriate health </w:t>
      </w:r>
      <w:proofErr w:type="gramStart"/>
      <w:r w:rsidRPr="0018643D">
        <w:rPr>
          <w:rFonts w:cs="Arial"/>
        </w:rPr>
        <w:t>care</w:t>
      </w:r>
      <w:r w:rsidR="00444C0B" w:rsidRPr="005229DB">
        <w:rPr>
          <w:rFonts w:cs="Arial"/>
          <w:vertAlign w:val="superscript"/>
        </w:rPr>
        <w:t>2</w:t>
      </w:r>
      <w:proofErr w:type="gramEnd"/>
    </w:p>
    <w:p w14:paraId="514003BE" w14:textId="5EB2E8F7" w:rsidR="0085674B" w:rsidRPr="0018643D" w:rsidRDefault="00097AC0">
      <w:pPr>
        <w:pStyle w:val="ListParagraph"/>
        <w:numPr>
          <w:ilvl w:val="0"/>
          <w:numId w:val="4"/>
        </w:numPr>
        <w:rPr>
          <w:rFonts w:cs="Arial"/>
        </w:rPr>
      </w:pPr>
      <w:r w:rsidRPr="0018643D">
        <w:rPr>
          <w:rFonts w:cs="Arial"/>
        </w:rPr>
        <w:t>have less financial stress</w:t>
      </w:r>
      <w:r w:rsidR="00444C0B" w:rsidRPr="005229DB">
        <w:rPr>
          <w:rFonts w:cs="Arial"/>
          <w:vertAlign w:val="superscript"/>
        </w:rPr>
        <w:t>1</w:t>
      </w:r>
      <w:r w:rsidRPr="0018643D">
        <w:rPr>
          <w:rFonts w:cs="Arial"/>
        </w:rPr>
        <w:t xml:space="preserve"> </w:t>
      </w:r>
    </w:p>
    <w:p w14:paraId="0E310216" w14:textId="4812983F" w:rsidR="00F94A54" w:rsidRPr="0018643D" w:rsidRDefault="00097AC0">
      <w:pPr>
        <w:pStyle w:val="ListParagraph"/>
        <w:numPr>
          <w:ilvl w:val="0"/>
          <w:numId w:val="4"/>
        </w:numPr>
        <w:rPr>
          <w:rFonts w:cs="Arial"/>
        </w:rPr>
      </w:pPr>
      <w:r w:rsidRPr="0018643D">
        <w:rPr>
          <w:rFonts w:cs="Arial"/>
        </w:rPr>
        <w:t xml:space="preserve">be more likely and confident to engage in shared </w:t>
      </w:r>
      <w:r w:rsidR="003E5148" w:rsidRPr="0018643D">
        <w:rPr>
          <w:rFonts w:cs="Arial"/>
        </w:rPr>
        <w:t>decision-</w:t>
      </w:r>
      <w:r w:rsidRPr="0018643D">
        <w:rPr>
          <w:rFonts w:cs="Arial"/>
        </w:rPr>
        <w:t>making</w:t>
      </w:r>
      <w:r w:rsidR="0029602F" w:rsidRPr="0018643D">
        <w:rPr>
          <w:rFonts w:cs="Arial"/>
        </w:rPr>
        <w:t>.</w:t>
      </w:r>
      <w:r w:rsidR="00615ABA" w:rsidRPr="0018643D">
        <w:rPr>
          <w:rFonts w:cs="Arial"/>
          <w:vertAlign w:val="superscript"/>
        </w:rPr>
        <w:t>3</w:t>
      </w:r>
    </w:p>
    <w:p w14:paraId="119CCD4C" w14:textId="09E9267E" w:rsidR="00097AC0" w:rsidRPr="0018643D" w:rsidRDefault="00097AC0" w:rsidP="007C783A">
      <w:pPr>
        <w:pStyle w:val="Heading1"/>
        <w:numPr>
          <w:ilvl w:val="0"/>
          <w:numId w:val="12"/>
        </w:numPr>
        <w:snapToGrid/>
        <w:ind w:left="0" w:firstLine="0"/>
        <w:rPr>
          <w:b w:val="0"/>
        </w:rPr>
      </w:pPr>
      <w:r w:rsidRPr="0018643D">
        <w:rPr>
          <w:b w:val="0"/>
        </w:rPr>
        <w:t xml:space="preserve">Does your patient want to be involved in </w:t>
      </w:r>
      <w:r w:rsidR="0029602F" w:rsidRPr="0018643D">
        <w:rPr>
          <w:b w:val="0"/>
        </w:rPr>
        <w:t xml:space="preserve">choosing </w:t>
      </w:r>
      <w:r w:rsidRPr="0018643D">
        <w:rPr>
          <w:b w:val="0"/>
        </w:rPr>
        <w:t>their specialist?</w:t>
      </w:r>
    </w:p>
    <w:p w14:paraId="477C85AC" w14:textId="1277BA09" w:rsidR="00097AC0" w:rsidRPr="0018643D" w:rsidRDefault="00097AC0" w:rsidP="007033DB">
      <w:pPr>
        <w:pStyle w:val="ListParagraph"/>
        <w:numPr>
          <w:ilvl w:val="0"/>
          <w:numId w:val="13"/>
        </w:numPr>
        <w:rPr>
          <w:rFonts w:cs="Arial"/>
        </w:rPr>
      </w:pPr>
      <w:r w:rsidRPr="0018643D">
        <w:rPr>
          <w:rFonts w:cs="Arial"/>
        </w:rPr>
        <w:t xml:space="preserve">Encourage </w:t>
      </w:r>
      <w:r w:rsidR="00DC4FD7" w:rsidRPr="0018643D">
        <w:rPr>
          <w:rFonts w:cs="Arial"/>
        </w:rPr>
        <w:t xml:space="preserve">your </w:t>
      </w:r>
      <w:r w:rsidRPr="0018643D">
        <w:rPr>
          <w:rFonts w:cs="Arial"/>
        </w:rPr>
        <w:t>patients to be involved.</w:t>
      </w:r>
      <w:r w:rsidRPr="00861CC2">
        <w:rPr>
          <w:rStyle w:val="FootnoteReference"/>
          <w:rFonts w:ascii="Arial" w:hAnsi="Arial" w:cs="Arial"/>
        </w:rPr>
        <w:t>4,5</w:t>
      </w:r>
    </w:p>
    <w:p w14:paraId="7B306D58" w14:textId="1C34166E" w:rsidR="00097AC0" w:rsidRPr="0018643D" w:rsidRDefault="00097AC0" w:rsidP="007C783A">
      <w:pPr>
        <w:pStyle w:val="Heading1"/>
        <w:numPr>
          <w:ilvl w:val="0"/>
          <w:numId w:val="12"/>
        </w:numPr>
        <w:snapToGrid/>
        <w:ind w:left="0" w:firstLine="0"/>
        <w:rPr>
          <w:b w:val="0"/>
        </w:rPr>
      </w:pPr>
      <w:r w:rsidRPr="0018643D">
        <w:t xml:space="preserve">Let </w:t>
      </w:r>
      <w:r w:rsidR="00DC4FD7" w:rsidRPr="0018643D">
        <w:t xml:space="preserve">your </w:t>
      </w:r>
      <w:r w:rsidRPr="0018643D">
        <w:t>patient know they can be involved in making the decision about which specialist they are referred to by you.</w:t>
      </w:r>
      <w:r w:rsidRPr="00861CC2">
        <w:rPr>
          <w:rStyle w:val="FootnoteReference"/>
          <w:rFonts w:ascii="Arial" w:hAnsi="Arial" w:cs="Arial"/>
        </w:rPr>
        <w:t>4</w:t>
      </w:r>
      <w:r w:rsidRPr="0018643D">
        <w:t xml:space="preserve"> </w:t>
      </w:r>
      <w:r w:rsidRPr="0018643D">
        <w:rPr>
          <w:b w:val="0"/>
        </w:rPr>
        <w:t xml:space="preserve">Discuss and clarify patient needs and </w:t>
      </w:r>
      <w:proofErr w:type="gramStart"/>
      <w:r w:rsidRPr="0018643D">
        <w:rPr>
          <w:b w:val="0"/>
        </w:rPr>
        <w:t>preferences</w:t>
      </w:r>
      <w:proofErr w:type="gramEnd"/>
    </w:p>
    <w:p w14:paraId="3F6F1EA4" w14:textId="77777777" w:rsidR="001904D6" w:rsidRPr="0018643D" w:rsidRDefault="00097AC0" w:rsidP="001904D6">
      <w:pPr>
        <w:pStyle w:val="ListParagraph"/>
        <w:numPr>
          <w:ilvl w:val="0"/>
          <w:numId w:val="14"/>
        </w:numPr>
        <w:rPr>
          <w:rFonts w:cs="Arial"/>
        </w:rPr>
      </w:pPr>
      <w:r w:rsidRPr="001904D6">
        <w:rPr>
          <w:rFonts w:cs="Arial"/>
        </w:rPr>
        <w:t xml:space="preserve">Ensure </w:t>
      </w:r>
      <w:r w:rsidR="00E711A7" w:rsidRPr="001904D6">
        <w:rPr>
          <w:rFonts w:cs="Arial"/>
        </w:rPr>
        <w:t xml:space="preserve">your </w:t>
      </w:r>
      <w:r w:rsidRPr="001904D6">
        <w:rPr>
          <w:rFonts w:cs="Arial"/>
        </w:rPr>
        <w:t>practice keeps a current list of specialists for your patient</w:t>
      </w:r>
      <w:r w:rsidR="00923F46" w:rsidRPr="001904D6">
        <w:rPr>
          <w:rFonts w:cs="Arial"/>
        </w:rPr>
        <w:t>s</w:t>
      </w:r>
      <w:r w:rsidRPr="001904D6">
        <w:rPr>
          <w:rFonts w:cs="Arial"/>
        </w:rPr>
        <w:t>.</w:t>
      </w:r>
      <w:r w:rsidRPr="00312B89">
        <w:rPr>
          <w:rStyle w:val="FootnoteReference"/>
          <w:rFonts w:ascii="Arial" w:hAnsi="Arial" w:cs="Arial"/>
        </w:rPr>
        <w:t>4,</w:t>
      </w:r>
      <w:proofErr w:type="gramStart"/>
      <w:r w:rsidR="0089350F" w:rsidRPr="00312B89">
        <w:rPr>
          <w:rFonts w:cs="Arial"/>
          <w:vertAlign w:val="superscript"/>
        </w:rPr>
        <w:t>6</w:t>
      </w:r>
      <w:proofErr w:type="gramEnd"/>
    </w:p>
    <w:p w14:paraId="1F69DA72" w14:textId="2E559AB0" w:rsidR="00097AC0" w:rsidRPr="00FC39BE" w:rsidRDefault="00097AC0" w:rsidP="00A846AB">
      <w:pPr>
        <w:pStyle w:val="ListParagraph"/>
        <w:numPr>
          <w:ilvl w:val="0"/>
          <w:numId w:val="14"/>
        </w:numPr>
        <w:rPr>
          <w:rFonts w:cs="Arial"/>
          <w:w w:val="96"/>
        </w:rPr>
      </w:pPr>
      <w:r w:rsidRPr="001904D6">
        <w:rPr>
          <w:rFonts w:cs="Arial"/>
        </w:rPr>
        <w:t>Consider the factors below when compiling and updating the list of specialists.</w:t>
      </w:r>
      <w:r w:rsidRPr="00312B89">
        <w:rPr>
          <w:rStyle w:val="FootnoteReference"/>
          <w:rFonts w:ascii="Arial" w:hAnsi="Arial" w:cs="Arial"/>
        </w:rPr>
        <w:t>4,</w:t>
      </w:r>
      <w:proofErr w:type="gramStart"/>
      <w:r w:rsidR="00BB0A1C" w:rsidRPr="00312B89">
        <w:rPr>
          <w:rFonts w:cs="Arial"/>
          <w:vertAlign w:val="superscript"/>
        </w:rPr>
        <w:t>6</w:t>
      </w:r>
      <w:proofErr w:type="gramEnd"/>
    </w:p>
    <w:p w14:paraId="1EB15D83" w14:textId="77777777" w:rsidR="00FC39BE" w:rsidRPr="0018643D" w:rsidRDefault="00FC39BE" w:rsidP="00FC39BE">
      <w:pPr>
        <w:pStyle w:val="Heading2"/>
      </w:pPr>
      <w:r w:rsidRPr="0018643D">
        <w:t>Field of practice</w:t>
      </w:r>
    </w:p>
    <w:p w14:paraId="05CD96EE" w14:textId="1CC303BD" w:rsidR="00FC39BE" w:rsidRPr="00FC39BE" w:rsidRDefault="00FC39BE" w:rsidP="00FC39BE">
      <w:pPr>
        <w:rPr>
          <w:rFonts w:cs="Arial"/>
        </w:rPr>
      </w:pPr>
      <w:r w:rsidRPr="0018643D">
        <w:rPr>
          <w:rFonts w:cs="Arial"/>
        </w:rPr>
        <w:t>Your knowledge of specialists’ fields of practice and subspecialties are critical in ensuring appropriate referrals. You should be able to explain to patients why you have made a certain referral when there are multiple specialists in the same field.</w:t>
      </w:r>
    </w:p>
    <w:p w14:paraId="3AEE0D3F" w14:textId="77777777" w:rsidR="00097AC0" w:rsidRPr="0018643D" w:rsidRDefault="00097AC0" w:rsidP="007C783A">
      <w:pPr>
        <w:pStyle w:val="Heading2"/>
      </w:pPr>
      <w:r w:rsidRPr="0018643D">
        <w:t>Out-of-pocket costs</w:t>
      </w:r>
    </w:p>
    <w:p w14:paraId="597F0ED0" w14:textId="4297BC2F" w:rsidR="00097AC0" w:rsidRPr="0018643D" w:rsidRDefault="00097AC0" w:rsidP="007033DB">
      <w:pPr>
        <w:rPr>
          <w:rFonts w:cs="Arial"/>
        </w:rPr>
      </w:pPr>
      <w:r w:rsidRPr="0018643D">
        <w:rPr>
          <w:rFonts w:cs="Arial"/>
        </w:rPr>
        <w:t>You can help your patients find out more about out-of-pocket costs.</w:t>
      </w:r>
      <w:r w:rsidR="004F4899" w:rsidRPr="00312B89">
        <w:rPr>
          <w:rFonts w:cs="Arial"/>
          <w:vertAlign w:val="superscript"/>
        </w:rPr>
        <w:t>6</w:t>
      </w:r>
    </w:p>
    <w:p w14:paraId="7A683519" w14:textId="521B2E71" w:rsidR="00097AC0" w:rsidRPr="0018643D" w:rsidRDefault="00097AC0" w:rsidP="007033DB">
      <w:pPr>
        <w:rPr>
          <w:rFonts w:cs="Arial"/>
        </w:rPr>
      </w:pPr>
      <w:r w:rsidRPr="0018643D">
        <w:rPr>
          <w:rFonts w:cs="Arial"/>
        </w:rPr>
        <w:t>Ensure your patients understand they can receive a high standard of care across both the public and private health systems.</w:t>
      </w:r>
      <w:r w:rsidR="00461765" w:rsidRPr="00312B89">
        <w:rPr>
          <w:rFonts w:cs="Arial"/>
          <w:vertAlign w:val="superscript"/>
        </w:rPr>
        <w:t>6</w:t>
      </w:r>
      <w:r w:rsidRPr="00ED77D9">
        <w:rPr>
          <w:rStyle w:val="FootnoteReference"/>
          <w:rFonts w:ascii="Arial" w:hAnsi="Arial" w:cs="Arial"/>
        </w:rPr>
        <w:t xml:space="preserve"> </w:t>
      </w:r>
      <w:r w:rsidRPr="0018643D">
        <w:rPr>
          <w:rFonts w:cs="Arial"/>
        </w:rPr>
        <w:t>As an Australian, there is no cost associated with the public health system.</w:t>
      </w:r>
    </w:p>
    <w:p w14:paraId="0ACA03BC" w14:textId="77777777" w:rsidR="00097AC0" w:rsidRPr="0018643D" w:rsidRDefault="00097AC0" w:rsidP="007033DB">
      <w:pPr>
        <w:rPr>
          <w:rFonts w:cs="Arial"/>
        </w:rPr>
      </w:pPr>
      <w:r w:rsidRPr="0018643D">
        <w:rPr>
          <w:rFonts w:cs="Arial"/>
          <w:spacing w:val="-2"/>
        </w:rPr>
        <w:t>Remind those with private health insurance to contact their insurer as early as possible to discuss what their policy covers and potential out-of-pocket costs.</w:t>
      </w:r>
    </w:p>
    <w:p w14:paraId="02FDFC52" w14:textId="77D176F2" w:rsidR="00097AC0" w:rsidRPr="0018643D" w:rsidRDefault="00097AC0" w:rsidP="007033DB">
      <w:pPr>
        <w:rPr>
          <w:rFonts w:cs="Arial"/>
        </w:rPr>
      </w:pPr>
      <w:r w:rsidRPr="0018643D">
        <w:rPr>
          <w:rFonts w:cs="Arial"/>
        </w:rPr>
        <w:t>Encourage awareness of informed financial consent for patients who may choose to access private specialist services, emphasising the importance of a patient having full knowledge of potential costs prior to receiving any services.</w:t>
      </w:r>
      <w:r w:rsidR="003A075C" w:rsidRPr="00312B89">
        <w:rPr>
          <w:rFonts w:cs="Arial"/>
          <w:vertAlign w:val="superscript"/>
        </w:rPr>
        <w:t>6</w:t>
      </w:r>
    </w:p>
    <w:p w14:paraId="6F2F0379" w14:textId="58AA9A55" w:rsidR="00097AC0" w:rsidRPr="0018643D" w:rsidRDefault="00097AC0" w:rsidP="00E336C7">
      <w:pPr>
        <w:pStyle w:val="Heading2"/>
      </w:pPr>
      <w:r w:rsidRPr="0018643D">
        <w:lastRenderedPageBreak/>
        <w:t>A</w:t>
      </w:r>
      <w:r w:rsidR="007C783A" w:rsidRPr="0018643D">
        <w:t>ccessibility</w:t>
      </w:r>
    </w:p>
    <w:p w14:paraId="79A529F2" w14:textId="77777777" w:rsidR="00097AC0" w:rsidRPr="0018643D" w:rsidRDefault="00097AC0" w:rsidP="007033DB">
      <w:pPr>
        <w:rPr>
          <w:rFonts w:cs="Arial"/>
        </w:rPr>
      </w:pPr>
      <w:r w:rsidRPr="0018643D">
        <w:rPr>
          <w:rFonts w:cs="Arial"/>
          <w:spacing w:val="-3"/>
        </w:rPr>
        <w:t>Let patients know that seeing a specialist privately could mean less wait time than the public system, but that wait times vary between private specialists.</w:t>
      </w:r>
      <w:r w:rsidRPr="006B7890">
        <w:rPr>
          <w:rStyle w:val="FootnoteReference"/>
          <w:rFonts w:ascii="Arial" w:hAnsi="Arial" w:cs="Arial"/>
          <w:spacing w:val="-3"/>
        </w:rPr>
        <w:t>4</w:t>
      </w:r>
      <w:r w:rsidRPr="0018643D">
        <w:rPr>
          <w:rFonts w:cs="Arial"/>
          <w:spacing w:val="-3"/>
        </w:rPr>
        <w:t xml:space="preserve"> </w:t>
      </w:r>
    </w:p>
    <w:p w14:paraId="504725D2" w14:textId="241FBA6D" w:rsidR="00097AC0" w:rsidRPr="0018643D" w:rsidRDefault="007C783A" w:rsidP="00E336C7">
      <w:pPr>
        <w:pStyle w:val="Heading2"/>
      </w:pPr>
      <w:r w:rsidRPr="0018643D">
        <w:t>Location</w:t>
      </w:r>
    </w:p>
    <w:p w14:paraId="5482BB56" w14:textId="7D662973" w:rsidR="00097AC0" w:rsidRPr="0018643D" w:rsidRDefault="00097AC0" w:rsidP="007033DB">
      <w:pPr>
        <w:rPr>
          <w:rFonts w:cs="Arial"/>
        </w:rPr>
      </w:pPr>
      <w:r w:rsidRPr="0018643D">
        <w:rPr>
          <w:rFonts w:cs="Arial"/>
        </w:rPr>
        <w:t xml:space="preserve">Consider convenience, particularly travel time and specialist hours, for </w:t>
      </w:r>
      <w:r w:rsidR="00EC57E6" w:rsidRPr="0018643D">
        <w:rPr>
          <w:rFonts w:cs="Arial"/>
        </w:rPr>
        <w:t xml:space="preserve">your </w:t>
      </w:r>
      <w:r w:rsidRPr="0018643D">
        <w:rPr>
          <w:rFonts w:cs="Arial"/>
        </w:rPr>
        <w:t xml:space="preserve">patient and for </w:t>
      </w:r>
      <w:r w:rsidR="00EC57E6" w:rsidRPr="0018643D">
        <w:rPr>
          <w:rFonts w:cs="Arial"/>
        </w:rPr>
        <w:t xml:space="preserve">their </w:t>
      </w:r>
      <w:r w:rsidRPr="0018643D">
        <w:rPr>
          <w:rFonts w:cs="Arial"/>
        </w:rPr>
        <w:t>family</w:t>
      </w:r>
      <w:r w:rsidR="00EC57E6" w:rsidRPr="0018643D">
        <w:rPr>
          <w:rFonts w:cs="Arial"/>
        </w:rPr>
        <w:t xml:space="preserve"> and </w:t>
      </w:r>
      <w:r w:rsidRPr="0018643D">
        <w:rPr>
          <w:rFonts w:cs="Arial"/>
        </w:rPr>
        <w:t xml:space="preserve">friends, if a hospital stay is expected. If the most appropriate specialist is far from </w:t>
      </w:r>
      <w:r w:rsidR="001C6706" w:rsidRPr="0018643D">
        <w:rPr>
          <w:rFonts w:cs="Arial"/>
        </w:rPr>
        <w:t xml:space="preserve">your </w:t>
      </w:r>
      <w:r w:rsidRPr="0018643D">
        <w:rPr>
          <w:rFonts w:cs="Arial"/>
        </w:rPr>
        <w:t xml:space="preserve">patient’s home, some private health insurers will cover travel and accommodation costs – patients will need to check this with their insurer. </w:t>
      </w:r>
    </w:p>
    <w:p w14:paraId="3659A81C" w14:textId="132E9EC4" w:rsidR="00097AC0" w:rsidRPr="0018643D" w:rsidRDefault="00097AC0" w:rsidP="00E336C7">
      <w:pPr>
        <w:pStyle w:val="Heading2"/>
      </w:pPr>
      <w:r w:rsidRPr="0018643D">
        <w:t>Compatibility</w:t>
      </w:r>
    </w:p>
    <w:p w14:paraId="28931A28" w14:textId="39CD1036" w:rsidR="00097AC0" w:rsidRPr="0018643D" w:rsidRDefault="00097AC0" w:rsidP="007033DB">
      <w:pPr>
        <w:rPr>
          <w:rFonts w:cs="Arial"/>
        </w:rPr>
      </w:pPr>
      <w:r w:rsidRPr="0018643D">
        <w:rPr>
          <w:rFonts w:cs="Arial"/>
        </w:rPr>
        <w:t xml:space="preserve">The compatibility of communication styles between </w:t>
      </w:r>
      <w:r w:rsidR="002A2530" w:rsidRPr="0018643D">
        <w:rPr>
          <w:rFonts w:cs="Arial"/>
        </w:rPr>
        <w:t>your</w:t>
      </w:r>
      <w:r w:rsidRPr="0018643D">
        <w:rPr>
          <w:rFonts w:cs="Arial"/>
        </w:rPr>
        <w:t xml:space="preserve"> patient and their specialist can influence </w:t>
      </w:r>
      <w:r w:rsidR="0061572D" w:rsidRPr="0018643D">
        <w:rPr>
          <w:rFonts w:cs="Arial"/>
        </w:rPr>
        <w:t xml:space="preserve">your patient’s </w:t>
      </w:r>
      <w:r w:rsidR="008A5CBA" w:rsidRPr="0018643D">
        <w:rPr>
          <w:rFonts w:cs="Arial"/>
        </w:rPr>
        <w:t xml:space="preserve">overall </w:t>
      </w:r>
      <w:r w:rsidRPr="0018643D">
        <w:rPr>
          <w:rFonts w:cs="Arial"/>
        </w:rPr>
        <w:t>satisfaction and confidence.</w:t>
      </w:r>
      <w:r w:rsidR="00D43174" w:rsidRPr="00312B89">
        <w:rPr>
          <w:rFonts w:cs="Arial"/>
          <w:vertAlign w:val="superscript"/>
        </w:rPr>
        <w:t>7</w:t>
      </w:r>
    </w:p>
    <w:p w14:paraId="2E5F3E29" w14:textId="1FBF1492" w:rsidR="00097AC0" w:rsidRPr="0018643D" w:rsidRDefault="00097AC0" w:rsidP="007C783A">
      <w:pPr>
        <w:pStyle w:val="Heading1"/>
        <w:numPr>
          <w:ilvl w:val="0"/>
          <w:numId w:val="12"/>
        </w:numPr>
        <w:snapToGrid/>
        <w:ind w:left="0" w:firstLine="0"/>
        <w:rPr>
          <w:b w:val="0"/>
        </w:rPr>
      </w:pPr>
      <w:r w:rsidRPr="0018643D">
        <w:rPr>
          <w:b w:val="0"/>
        </w:rPr>
        <w:t xml:space="preserve">Recommend one or more </w:t>
      </w:r>
      <w:proofErr w:type="gramStart"/>
      <w:r w:rsidRPr="0018643D">
        <w:rPr>
          <w:b w:val="0"/>
        </w:rPr>
        <w:t>specialists</w:t>
      </w:r>
      <w:proofErr w:type="gramEnd"/>
      <w:r w:rsidRPr="0018643D">
        <w:rPr>
          <w:b w:val="0"/>
        </w:rPr>
        <w:t xml:space="preserve"> </w:t>
      </w:r>
    </w:p>
    <w:p w14:paraId="16E06544" w14:textId="3DCE2CF9" w:rsidR="00097AC0" w:rsidRPr="0018643D" w:rsidRDefault="00097AC0" w:rsidP="007033DB">
      <w:pPr>
        <w:rPr>
          <w:rFonts w:cs="Arial"/>
        </w:rPr>
      </w:pPr>
      <w:r w:rsidRPr="0018643D">
        <w:rPr>
          <w:rFonts w:cs="Arial"/>
        </w:rPr>
        <w:t xml:space="preserve">Recommend one or more specialists and explain why each might be a good fit. Weigh up the pros and cons of factors important </w:t>
      </w:r>
      <w:r w:rsidR="000667FD" w:rsidRPr="0018643D">
        <w:rPr>
          <w:rFonts w:cs="Arial"/>
        </w:rPr>
        <w:t xml:space="preserve">to </w:t>
      </w:r>
      <w:r w:rsidR="00744E70" w:rsidRPr="0018643D">
        <w:rPr>
          <w:rFonts w:cs="Arial"/>
        </w:rPr>
        <w:t xml:space="preserve">your </w:t>
      </w:r>
      <w:r w:rsidRPr="0018643D">
        <w:rPr>
          <w:rFonts w:cs="Arial"/>
        </w:rPr>
        <w:t>patient.</w:t>
      </w:r>
      <w:r w:rsidRPr="00C7631D">
        <w:rPr>
          <w:rStyle w:val="FootnoteReference"/>
          <w:rFonts w:ascii="Arial" w:hAnsi="Arial" w:cs="Arial"/>
        </w:rPr>
        <w:t>4</w:t>
      </w:r>
      <w:r w:rsidRPr="0018643D">
        <w:rPr>
          <w:rFonts w:cs="Arial"/>
        </w:rPr>
        <w:t xml:space="preserve"> </w:t>
      </w:r>
    </w:p>
    <w:p w14:paraId="3999A849" w14:textId="7139E473" w:rsidR="00097AC0" w:rsidRDefault="00097AC0" w:rsidP="007033DB">
      <w:pPr>
        <w:rPr>
          <w:rFonts w:cs="Arial"/>
        </w:rPr>
      </w:pPr>
      <w:r w:rsidRPr="0018643D">
        <w:rPr>
          <w:rFonts w:cs="Arial"/>
        </w:rPr>
        <w:t xml:space="preserve">If there is a single predominant factor, such as </w:t>
      </w:r>
      <w:r w:rsidR="00744E70" w:rsidRPr="0018643D">
        <w:rPr>
          <w:rFonts w:cs="Arial"/>
        </w:rPr>
        <w:t xml:space="preserve">your </w:t>
      </w:r>
      <w:r w:rsidRPr="0018643D">
        <w:rPr>
          <w:rFonts w:cs="Arial"/>
        </w:rPr>
        <w:t xml:space="preserve">patient </w:t>
      </w:r>
      <w:r w:rsidR="00744E70" w:rsidRPr="0018643D">
        <w:rPr>
          <w:rFonts w:cs="Arial"/>
        </w:rPr>
        <w:t xml:space="preserve">cannot </w:t>
      </w:r>
      <w:r w:rsidRPr="0018643D">
        <w:rPr>
          <w:rFonts w:cs="Arial"/>
        </w:rPr>
        <w:t>pay privately, the recommendation can be simple. However, when there are competing factors</w:t>
      </w:r>
      <w:r w:rsidR="00744E70" w:rsidRPr="0018643D">
        <w:rPr>
          <w:rFonts w:cs="Arial"/>
        </w:rPr>
        <w:t>,</w:t>
      </w:r>
      <w:r w:rsidRPr="0018643D">
        <w:rPr>
          <w:rFonts w:cs="Arial"/>
        </w:rPr>
        <w:t xml:space="preserve"> </w:t>
      </w:r>
      <w:r w:rsidR="00744E70" w:rsidRPr="0018643D">
        <w:rPr>
          <w:rFonts w:cs="Arial"/>
        </w:rPr>
        <w:t xml:space="preserve">your </w:t>
      </w:r>
      <w:r w:rsidRPr="0018643D">
        <w:rPr>
          <w:rFonts w:cs="Arial"/>
        </w:rPr>
        <w:t xml:space="preserve">patient’s preferences may have a more significant role </w:t>
      </w:r>
      <w:r w:rsidR="00744E70" w:rsidRPr="0018643D">
        <w:rPr>
          <w:rFonts w:cs="Arial"/>
        </w:rPr>
        <w:t xml:space="preserve">in </w:t>
      </w:r>
      <w:r w:rsidRPr="0018643D">
        <w:rPr>
          <w:rFonts w:cs="Arial"/>
        </w:rPr>
        <w:t>driving the recommendation.</w:t>
      </w:r>
    </w:p>
    <w:p w14:paraId="3F95FA01" w14:textId="0AF3A97C" w:rsidR="008D582E" w:rsidRPr="0018643D" w:rsidRDefault="008D582E" w:rsidP="007033DB">
      <w:pPr>
        <w:rPr>
          <w:rFonts w:cs="Arial"/>
        </w:rPr>
      </w:pPr>
      <w:r w:rsidRPr="00312B89">
        <w:rPr>
          <w:rFonts w:cs="Arial"/>
          <w:spacing w:val="-2"/>
        </w:rPr>
        <w:t xml:space="preserve">Let your patients know about the </w:t>
      </w:r>
      <w:hyperlink r:id="rId12" w:history="1">
        <w:r w:rsidRPr="007B0F7E">
          <w:rPr>
            <w:rStyle w:val="Hyperlink"/>
            <w:rFonts w:cs="Arial"/>
            <w:spacing w:val="-2"/>
          </w:rPr>
          <w:t>Medical Costs Finder</w:t>
        </w:r>
      </w:hyperlink>
      <w:r w:rsidRPr="00312B89">
        <w:rPr>
          <w:rFonts w:cs="Arial"/>
          <w:spacing w:val="-2"/>
        </w:rPr>
        <w:t xml:space="preserve"> when talking about treatment options. Educational resources are available for patients at </w:t>
      </w:r>
      <w:hyperlink r:id="rId13" w:history="1">
        <w:r w:rsidRPr="007B0F7E">
          <w:rPr>
            <w:rStyle w:val="Hyperlink"/>
            <w:rFonts w:cs="Arial"/>
            <w:spacing w:val="-2"/>
          </w:rPr>
          <w:t>medicalcostsfinder.health.gov.au/resources</w:t>
        </w:r>
      </w:hyperlink>
      <w:r w:rsidRPr="00312B89">
        <w:rPr>
          <w:rFonts w:cs="Arial"/>
          <w:spacing w:val="-2"/>
        </w:rPr>
        <w:t xml:space="preserve">. </w:t>
      </w:r>
    </w:p>
    <w:p w14:paraId="56D9D667" w14:textId="40CCB318" w:rsidR="00097AC0" w:rsidRPr="0018643D" w:rsidRDefault="00097AC0" w:rsidP="007C783A">
      <w:pPr>
        <w:pStyle w:val="Heading1"/>
        <w:numPr>
          <w:ilvl w:val="0"/>
          <w:numId w:val="12"/>
        </w:numPr>
        <w:snapToGrid/>
        <w:ind w:left="0" w:firstLine="0"/>
        <w:rPr>
          <w:b w:val="0"/>
        </w:rPr>
      </w:pPr>
      <w:r w:rsidRPr="0018643D">
        <w:rPr>
          <w:b w:val="0"/>
        </w:rPr>
        <w:t xml:space="preserve">Does </w:t>
      </w:r>
      <w:r w:rsidR="00744E70" w:rsidRPr="0018643D">
        <w:rPr>
          <w:b w:val="0"/>
        </w:rPr>
        <w:t xml:space="preserve">your </w:t>
      </w:r>
      <w:r w:rsidRPr="0018643D">
        <w:rPr>
          <w:b w:val="0"/>
        </w:rPr>
        <w:t>patient need to decide now (is this urgent)?</w:t>
      </w:r>
    </w:p>
    <w:p w14:paraId="7E031E1B" w14:textId="07FF66D4" w:rsidR="00097AC0" w:rsidRPr="0018643D" w:rsidRDefault="00097AC0" w:rsidP="007033DB">
      <w:pPr>
        <w:rPr>
          <w:rFonts w:cs="Arial"/>
        </w:rPr>
      </w:pPr>
      <w:r w:rsidRPr="0018643D">
        <w:rPr>
          <w:rFonts w:cs="Arial"/>
        </w:rPr>
        <w:t xml:space="preserve">If an immediate decision is not required, ask </w:t>
      </w:r>
      <w:r w:rsidR="00744E70" w:rsidRPr="0018643D">
        <w:rPr>
          <w:rFonts w:cs="Arial"/>
        </w:rPr>
        <w:t xml:space="preserve">your </w:t>
      </w:r>
      <w:r w:rsidRPr="0018643D">
        <w:rPr>
          <w:rFonts w:cs="Arial"/>
        </w:rPr>
        <w:t>patient if they want more time to consider their options.</w:t>
      </w:r>
    </w:p>
    <w:p w14:paraId="58A6F934" w14:textId="67C2B24F" w:rsidR="00097AC0" w:rsidRPr="0018643D" w:rsidRDefault="00097AC0" w:rsidP="00A47E84">
      <w:pPr>
        <w:pStyle w:val="ListParagraph"/>
        <w:numPr>
          <w:ilvl w:val="0"/>
          <w:numId w:val="16"/>
        </w:numPr>
        <w:rPr>
          <w:rFonts w:cs="Arial"/>
        </w:rPr>
      </w:pPr>
      <w:r w:rsidRPr="0018643D">
        <w:rPr>
          <w:rFonts w:cs="Arial"/>
        </w:rPr>
        <w:t xml:space="preserve">Use a shared </w:t>
      </w:r>
      <w:r w:rsidR="000A6994" w:rsidRPr="0018643D">
        <w:rPr>
          <w:rFonts w:cs="Arial"/>
        </w:rPr>
        <w:t>decision-making</w:t>
      </w:r>
      <w:r w:rsidRPr="0018643D">
        <w:rPr>
          <w:rFonts w:cs="Arial"/>
        </w:rPr>
        <w:t xml:space="preserve"> approach when considering specialist options.</w:t>
      </w:r>
    </w:p>
    <w:p w14:paraId="18B3226D" w14:textId="40B9A08F" w:rsidR="00097AC0" w:rsidRPr="0018643D" w:rsidRDefault="005F0271" w:rsidP="00A47E84">
      <w:pPr>
        <w:pStyle w:val="ListParagraph"/>
        <w:numPr>
          <w:ilvl w:val="0"/>
          <w:numId w:val="16"/>
        </w:numPr>
        <w:rPr>
          <w:rFonts w:cs="Arial"/>
          <w:spacing w:val="-2"/>
        </w:rPr>
      </w:pPr>
      <w:r w:rsidRPr="0018643D">
        <w:rPr>
          <w:rFonts w:cs="Arial"/>
          <w:spacing w:val="-2"/>
        </w:rPr>
        <w:t xml:space="preserve">Give your </w:t>
      </w:r>
      <w:r w:rsidR="00097AC0" w:rsidRPr="0018643D">
        <w:rPr>
          <w:rFonts w:cs="Arial"/>
          <w:spacing w:val="-2"/>
        </w:rPr>
        <w:t xml:space="preserve">patient </w:t>
      </w:r>
      <w:r w:rsidRPr="0018643D">
        <w:rPr>
          <w:rFonts w:cs="Arial"/>
          <w:spacing w:val="-2"/>
        </w:rPr>
        <w:t xml:space="preserve">more time if </w:t>
      </w:r>
      <w:r w:rsidR="00DC4FD7" w:rsidRPr="0018643D">
        <w:rPr>
          <w:rFonts w:cs="Arial"/>
          <w:spacing w:val="-2"/>
        </w:rPr>
        <w:t xml:space="preserve">they need </w:t>
      </w:r>
      <w:r w:rsidR="00097AC0" w:rsidRPr="0018643D">
        <w:rPr>
          <w:rFonts w:cs="Arial"/>
          <w:spacing w:val="-2"/>
        </w:rPr>
        <w:t xml:space="preserve">to weigh up the pros and cons of </w:t>
      </w:r>
      <w:r w:rsidR="00DC4FD7" w:rsidRPr="0018643D">
        <w:rPr>
          <w:rFonts w:cs="Arial"/>
          <w:spacing w:val="-2"/>
        </w:rPr>
        <w:t xml:space="preserve">different </w:t>
      </w:r>
      <w:proofErr w:type="gramStart"/>
      <w:r w:rsidR="00097AC0" w:rsidRPr="0018643D">
        <w:rPr>
          <w:rFonts w:cs="Arial"/>
          <w:spacing w:val="-2"/>
        </w:rPr>
        <w:t>factors</w:t>
      </w:r>
      <w:r w:rsidR="00DC4FD7" w:rsidRPr="0018643D">
        <w:rPr>
          <w:rFonts w:cs="Arial"/>
          <w:spacing w:val="-2"/>
        </w:rPr>
        <w:t>,</w:t>
      </w:r>
      <w:r w:rsidR="00097AC0" w:rsidRPr="0018643D">
        <w:rPr>
          <w:rFonts w:cs="Arial"/>
          <w:spacing w:val="-2"/>
        </w:rPr>
        <w:t xml:space="preserve"> or</w:t>
      </w:r>
      <w:proofErr w:type="gramEnd"/>
      <w:r w:rsidR="00097AC0" w:rsidRPr="0018643D">
        <w:rPr>
          <w:rFonts w:cs="Arial"/>
          <w:spacing w:val="-2"/>
        </w:rPr>
        <w:t xml:space="preserve"> do research of their own about recommended specialists. </w:t>
      </w:r>
    </w:p>
    <w:p w14:paraId="2B3C5D9B" w14:textId="77777777" w:rsidR="00097AC0" w:rsidRPr="0018643D" w:rsidRDefault="00097AC0" w:rsidP="007C783A">
      <w:pPr>
        <w:pStyle w:val="Heading2"/>
      </w:pPr>
      <w:r w:rsidRPr="0018643D">
        <w:t>Schedule a follow-up appointment</w:t>
      </w:r>
    </w:p>
    <w:p w14:paraId="45DFCB04" w14:textId="53464F14" w:rsidR="00097AC0" w:rsidRPr="0018643D" w:rsidRDefault="00097AC0" w:rsidP="007033DB">
      <w:pPr>
        <w:rPr>
          <w:rFonts w:cs="Arial"/>
          <w:w w:val="96"/>
        </w:rPr>
      </w:pPr>
      <w:r w:rsidRPr="0018643D">
        <w:rPr>
          <w:rFonts w:cs="Arial"/>
        </w:rPr>
        <w:t xml:space="preserve">It may be helpful for you to have a discussion with </w:t>
      </w:r>
      <w:r w:rsidR="00744E70" w:rsidRPr="0018643D">
        <w:rPr>
          <w:rFonts w:cs="Arial"/>
        </w:rPr>
        <w:t xml:space="preserve">your patient </w:t>
      </w:r>
      <w:r w:rsidRPr="0018643D">
        <w:rPr>
          <w:rFonts w:cs="Arial"/>
        </w:rPr>
        <w:t>at a follow-up appointment. This option may also apply if you need more time to consult with colleagues about which specialist to recommend.</w:t>
      </w:r>
    </w:p>
    <w:p w14:paraId="08806C47" w14:textId="77777777" w:rsidR="00097AC0" w:rsidRPr="0018643D" w:rsidRDefault="00097AC0" w:rsidP="007C783A">
      <w:pPr>
        <w:pStyle w:val="Heading1"/>
        <w:numPr>
          <w:ilvl w:val="0"/>
          <w:numId w:val="12"/>
        </w:numPr>
        <w:snapToGrid/>
        <w:ind w:left="0" w:firstLine="0"/>
        <w:rPr>
          <w:b w:val="0"/>
        </w:rPr>
      </w:pPr>
      <w:r w:rsidRPr="0018643D">
        <w:rPr>
          <w:b w:val="0"/>
        </w:rPr>
        <w:t>Referral requirements and options</w:t>
      </w:r>
    </w:p>
    <w:p w14:paraId="41C68D93" w14:textId="2C5175BA" w:rsidR="00097AC0" w:rsidRPr="0018643D" w:rsidRDefault="00097AC0" w:rsidP="007033DB">
      <w:pPr>
        <w:rPr>
          <w:rFonts w:cs="Arial"/>
        </w:rPr>
      </w:pPr>
      <w:r w:rsidRPr="0018643D">
        <w:rPr>
          <w:rFonts w:cs="Arial"/>
        </w:rPr>
        <w:t>At the time of consultation, ensure minimum requirements for a referral are met and that your patient understands the period their referral is valid for. Minimum requirements for a referral include:</w:t>
      </w:r>
      <w:proofErr w:type="gramStart"/>
      <w:r w:rsidR="00D74DE3" w:rsidRPr="00312B89">
        <w:rPr>
          <w:rFonts w:cs="Arial"/>
          <w:spacing w:val="-2"/>
          <w:vertAlign w:val="superscript"/>
        </w:rPr>
        <w:t>8</w:t>
      </w:r>
      <w:proofErr w:type="gramEnd"/>
    </w:p>
    <w:p w14:paraId="79321990" w14:textId="4C1E2A00" w:rsidR="00097AC0" w:rsidRPr="0018643D" w:rsidRDefault="00097AC0" w:rsidP="007033DB">
      <w:pPr>
        <w:pStyle w:val="ListParagraph"/>
        <w:numPr>
          <w:ilvl w:val="0"/>
          <w:numId w:val="15"/>
        </w:numPr>
        <w:rPr>
          <w:rFonts w:cs="Arial"/>
          <w:spacing w:val="-4"/>
        </w:rPr>
      </w:pPr>
      <w:r w:rsidRPr="0018643D">
        <w:rPr>
          <w:rFonts w:cs="Arial"/>
          <w:spacing w:val="-4"/>
        </w:rPr>
        <w:t>must be in writing (</w:t>
      </w:r>
      <w:proofErr w:type="gramStart"/>
      <w:r w:rsidR="00765131" w:rsidRPr="0018643D">
        <w:rPr>
          <w:rFonts w:cs="Arial"/>
          <w:spacing w:val="-4"/>
        </w:rPr>
        <w:t>i.e.</w:t>
      </w:r>
      <w:proofErr w:type="gramEnd"/>
      <w:r w:rsidRPr="0018643D">
        <w:rPr>
          <w:rFonts w:cs="Arial"/>
          <w:spacing w:val="-4"/>
        </w:rPr>
        <w:t xml:space="preserve"> it cannot be made verbally), and include the signature of the referring practitioner (or a digital signature in the case of an e-referral)</w:t>
      </w:r>
    </w:p>
    <w:p w14:paraId="120BAF5D" w14:textId="35CA5843" w:rsidR="00097AC0" w:rsidRPr="0018643D" w:rsidRDefault="00097AC0" w:rsidP="007033DB">
      <w:pPr>
        <w:pStyle w:val="ListParagraph"/>
        <w:numPr>
          <w:ilvl w:val="0"/>
          <w:numId w:val="15"/>
        </w:numPr>
        <w:rPr>
          <w:rFonts w:cs="Arial"/>
        </w:rPr>
      </w:pPr>
      <w:r w:rsidRPr="0018643D">
        <w:rPr>
          <w:rFonts w:cs="Arial"/>
        </w:rPr>
        <w:t xml:space="preserve">must include relevant clinical information about the patient’s condition for investigation, opinion, treatment and/or </w:t>
      </w:r>
      <w:proofErr w:type="gramStart"/>
      <w:r w:rsidRPr="7A474E19">
        <w:rPr>
          <w:rFonts w:cs="Arial"/>
        </w:rPr>
        <w:t>management</w:t>
      </w:r>
      <w:proofErr w:type="gramEnd"/>
    </w:p>
    <w:p w14:paraId="6553349C" w14:textId="2EA8CB3F" w:rsidR="00097AC0" w:rsidRPr="0018643D" w:rsidRDefault="00097AC0" w:rsidP="007033DB">
      <w:pPr>
        <w:pStyle w:val="ListParagraph"/>
        <w:numPr>
          <w:ilvl w:val="0"/>
          <w:numId w:val="15"/>
        </w:numPr>
        <w:rPr>
          <w:rFonts w:cs="Arial"/>
        </w:rPr>
      </w:pPr>
      <w:r w:rsidRPr="0018643D">
        <w:rPr>
          <w:rFonts w:cs="Arial"/>
        </w:rPr>
        <w:t xml:space="preserve">must include the date of the </w:t>
      </w:r>
      <w:proofErr w:type="gramStart"/>
      <w:r w:rsidRPr="0018643D">
        <w:rPr>
          <w:rFonts w:cs="Arial"/>
        </w:rPr>
        <w:t>referral</w:t>
      </w:r>
      <w:proofErr w:type="gramEnd"/>
    </w:p>
    <w:p w14:paraId="44163CDB" w14:textId="751FE7B3" w:rsidR="00097AC0" w:rsidRPr="0018643D" w:rsidRDefault="00097AC0" w:rsidP="00A47E84">
      <w:pPr>
        <w:pStyle w:val="ListParagraph"/>
        <w:numPr>
          <w:ilvl w:val="0"/>
          <w:numId w:val="15"/>
        </w:numPr>
        <w:rPr>
          <w:rFonts w:cs="Arial"/>
        </w:rPr>
      </w:pPr>
      <w:r w:rsidRPr="0018643D">
        <w:rPr>
          <w:rFonts w:cs="Arial"/>
        </w:rPr>
        <w:lastRenderedPageBreak/>
        <w:t xml:space="preserve">the patient’s </w:t>
      </w:r>
      <w:r w:rsidR="00AD51CF" w:rsidRPr="0018643D">
        <w:rPr>
          <w:rFonts w:cs="Arial"/>
        </w:rPr>
        <w:t>GP</w:t>
      </w:r>
      <w:r w:rsidRPr="0018643D">
        <w:rPr>
          <w:rFonts w:cs="Arial"/>
        </w:rPr>
        <w:t xml:space="preserve"> is to be named</w:t>
      </w:r>
      <w:r w:rsidR="002A0B4D" w:rsidRPr="002A0B4D">
        <w:rPr>
          <w:rFonts w:cs="Arial"/>
        </w:rPr>
        <w:t xml:space="preserve"> </w:t>
      </w:r>
      <w:r w:rsidR="002A0B4D" w:rsidRPr="0018643D">
        <w:rPr>
          <w:rFonts w:cs="Arial"/>
        </w:rPr>
        <w:t>for specialist-to-specialist referrals</w:t>
      </w:r>
      <w:r w:rsidR="00D13720" w:rsidRPr="0018643D">
        <w:rPr>
          <w:rFonts w:cs="Arial"/>
        </w:rPr>
        <w:t>,</w:t>
      </w:r>
      <w:r w:rsidRPr="0018643D">
        <w:rPr>
          <w:rFonts w:cs="Arial"/>
        </w:rPr>
        <w:t xml:space="preserve"> or a statement is</w:t>
      </w:r>
      <w:r w:rsidR="00B04C95">
        <w:rPr>
          <w:rFonts w:cs="Arial"/>
        </w:rPr>
        <w:t xml:space="preserve"> to be</w:t>
      </w:r>
      <w:r w:rsidRPr="0018643D">
        <w:rPr>
          <w:rFonts w:cs="Arial"/>
        </w:rPr>
        <w:t xml:space="preserve"> included that the patient is unable or not willing to nominate their GP.</w:t>
      </w:r>
    </w:p>
    <w:p w14:paraId="242984E3" w14:textId="6408AAAC" w:rsidR="00097AC0" w:rsidRPr="0018643D" w:rsidRDefault="00097AC0" w:rsidP="007033DB">
      <w:pPr>
        <w:rPr>
          <w:rFonts w:cs="Arial"/>
        </w:rPr>
      </w:pPr>
      <w:r w:rsidRPr="0018643D">
        <w:rPr>
          <w:rFonts w:cs="Arial"/>
        </w:rPr>
        <w:t>In most settings, referrals do not need to be made out to a specific specialist. You may want to provide your patient with one of the following options outlined below.</w:t>
      </w:r>
      <w:r w:rsidR="004268CC" w:rsidRPr="00312B89">
        <w:rPr>
          <w:rFonts w:cs="Arial"/>
          <w:spacing w:val="-2"/>
          <w:vertAlign w:val="superscript"/>
        </w:rPr>
        <w:t>8</w:t>
      </w:r>
    </w:p>
    <w:p w14:paraId="67DBBE72" w14:textId="795874AD" w:rsidR="00097AC0" w:rsidRPr="0018643D" w:rsidRDefault="00097AC0" w:rsidP="007C783A">
      <w:pPr>
        <w:pStyle w:val="Heading2"/>
      </w:pPr>
      <w:r w:rsidRPr="0018643D">
        <w:t>Open referral</w:t>
      </w:r>
    </w:p>
    <w:p w14:paraId="74260E47" w14:textId="7C644279" w:rsidR="00097AC0" w:rsidRPr="0018643D" w:rsidRDefault="00097AC0" w:rsidP="00A47E84">
      <w:pPr>
        <w:rPr>
          <w:rFonts w:cs="Arial"/>
        </w:rPr>
      </w:pPr>
      <w:r w:rsidRPr="0018643D">
        <w:rPr>
          <w:rFonts w:cs="Arial"/>
        </w:rPr>
        <w:t>An open referral contains the minimum requirements and can be presented to any specialist practising in the specialty.</w:t>
      </w:r>
      <w:r w:rsidR="006047DA">
        <w:rPr>
          <w:rStyle w:val="FootnoteReference"/>
          <w:rFonts w:ascii="Arial" w:hAnsi="Arial" w:cs="Arial"/>
        </w:rPr>
        <w:t>8</w:t>
      </w:r>
      <w:r w:rsidR="006047DA" w:rsidRPr="00312B89">
        <w:rPr>
          <w:rFonts w:cs="Arial"/>
          <w:vertAlign w:val="superscript"/>
        </w:rPr>
        <w:t>,9</w:t>
      </w:r>
      <w:r w:rsidRPr="009766E2">
        <w:rPr>
          <w:rStyle w:val="FootnoteReference"/>
          <w:rFonts w:ascii="Arial" w:hAnsi="Arial" w:cs="Arial"/>
          <w:spacing w:val="-2"/>
          <w:vertAlign w:val="baseline"/>
        </w:rPr>
        <w:t xml:space="preserve"> </w:t>
      </w:r>
      <w:r w:rsidRPr="009766E2">
        <w:rPr>
          <w:rFonts w:cs="Arial"/>
        </w:rPr>
        <w:t xml:space="preserve">In </w:t>
      </w:r>
      <w:r w:rsidRPr="000B3BC7">
        <w:rPr>
          <w:rFonts w:cs="Arial"/>
        </w:rPr>
        <w:t>some instances, a patient presenting to a public hospital may elect</w:t>
      </w:r>
      <w:r w:rsidRPr="00312B89">
        <w:rPr>
          <w:rFonts w:cs="Arial"/>
        </w:rPr>
        <w:t xml:space="preserve"> to be treated as private patient. Where this occurs, the specialist must be named on the referral consistent with clause G19 of the National Health Reform Agreement.</w:t>
      </w:r>
      <w:r w:rsidR="00E5209F" w:rsidRPr="00312B89">
        <w:rPr>
          <w:rFonts w:cs="Arial"/>
          <w:vertAlign w:val="superscript"/>
        </w:rPr>
        <w:t>1</w:t>
      </w:r>
      <w:r w:rsidR="005B1AD5">
        <w:rPr>
          <w:rFonts w:cs="Arial"/>
          <w:vertAlign w:val="superscript"/>
        </w:rPr>
        <w:t>0</w:t>
      </w:r>
    </w:p>
    <w:p w14:paraId="72FEA516" w14:textId="355EBC6D" w:rsidR="00097AC0" w:rsidRPr="0018643D" w:rsidRDefault="00097AC0" w:rsidP="007C783A">
      <w:pPr>
        <w:pStyle w:val="Heading2"/>
      </w:pPr>
      <w:r w:rsidRPr="0018643D">
        <w:t xml:space="preserve">Named </w:t>
      </w:r>
      <w:proofErr w:type="gramStart"/>
      <w:r w:rsidRPr="0018643D">
        <w:t>referral</w:t>
      </w:r>
      <w:proofErr w:type="gramEnd"/>
    </w:p>
    <w:p w14:paraId="2E104164" w14:textId="169A0D94" w:rsidR="00097AC0" w:rsidRPr="0018643D" w:rsidRDefault="00097AC0" w:rsidP="00A47E84">
      <w:pPr>
        <w:rPr>
          <w:rFonts w:cs="Arial"/>
        </w:rPr>
      </w:pPr>
      <w:r w:rsidRPr="0018643D">
        <w:rPr>
          <w:rFonts w:cs="Arial"/>
        </w:rPr>
        <w:t>Includes the specialist’s name and details in addition to the minimum requirements.</w:t>
      </w:r>
      <w:r w:rsidRPr="000B3BC7">
        <w:rPr>
          <w:rStyle w:val="FootnoteReference"/>
          <w:rFonts w:ascii="Arial" w:hAnsi="Arial" w:cs="Arial"/>
        </w:rPr>
        <w:t>4</w:t>
      </w:r>
      <w:r w:rsidRPr="0018643D">
        <w:rPr>
          <w:rFonts w:cs="Arial"/>
        </w:rPr>
        <w:t xml:space="preserve"> </w:t>
      </w:r>
    </w:p>
    <w:p w14:paraId="40A971AB" w14:textId="75282F9E" w:rsidR="00097AC0" w:rsidRPr="0018643D" w:rsidRDefault="00097AC0" w:rsidP="00A47E84">
      <w:pPr>
        <w:rPr>
          <w:rFonts w:cs="Arial"/>
        </w:rPr>
      </w:pPr>
      <w:r w:rsidRPr="0018643D">
        <w:rPr>
          <w:rFonts w:cs="Arial"/>
        </w:rPr>
        <w:t>Use when the patient has made an informed decision about which specialist to see and wants the referral to be made during the appointment.</w:t>
      </w:r>
    </w:p>
    <w:p w14:paraId="3F7A8CE1" w14:textId="7B2A9ACA" w:rsidR="00097AC0" w:rsidRPr="0018643D" w:rsidRDefault="00097AC0" w:rsidP="007C783A">
      <w:pPr>
        <w:pStyle w:val="Heading2"/>
      </w:pPr>
      <w:r w:rsidRPr="0018643D">
        <w:t>Multiple named referrals</w:t>
      </w:r>
    </w:p>
    <w:p w14:paraId="5B7B72D2" w14:textId="2D57199D" w:rsidR="00097AC0" w:rsidRPr="0018643D" w:rsidRDefault="00097AC0" w:rsidP="00A47E84">
      <w:pPr>
        <w:rPr>
          <w:rFonts w:cs="Arial"/>
        </w:rPr>
      </w:pPr>
      <w:r w:rsidRPr="0018643D">
        <w:rPr>
          <w:rFonts w:cs="Arial"/>
        </w:rPr>
        <w:t>Use if the patient might need to consider or consult with more than one specialist. Advise the patient to let you know which specialist they have chosen to ensure continuity of care.</w:t>
      </w:r>
    </w:p>
    <w:p w14:paraId="29F0CF63" w14:textId="3467C03A" w:rsidR="00097AC0" w:rsidRPr="0018643D" w:rsidRDefault="00097AC0" w:rsidP="007C783A">
      <w:pPr>
        <w:pStyle w:val="Heading2"/>
      </w:pPr>
      <w:r w:rsidRPr="0018643D">
        <w:t xml:space="preserve">Named referral taken to another </w:t>
      </w:r>
      <w:proofErr w:type="gramStart"/>
      <w:r w:rsidRPr="0018643D">
        <w:t>specialist</w:t>
      </w:r>
      <w:proofErr w:type="gramEnd"/>
    </w:p>
    <w:p w14:paraId="1650CE6D" w14:textId="2C812C1F" w:rsidR="00097AC0" w:rsidRPr="0018643D" w:rsidRDefault="00097AC0" w:rsidP="00A47E84">
      <w:pPr>
        <w:rPr>
          <w:rFonts w:cs="Arial"/>
        </w:rPr>
      </w:pPr>
      <w:r w:rsidRPr="0018643D">
        <w:rPr>
          <w:rFonts w:cs="Arial"/>
        </w:rPr>
        <w:t>A named referral can be taken by the patient to any other specialist practising in that specialty.</w:t>
      </w:r>
      <w:r w:rsidRPr="00C655C1">
        <w:rPr>
          <w:rStyle w:val="FootnoteReference"/>
          <w:rFonts w:ascii="Arial" w:hAnsi="Arial" w:cs="Arial"/>
        </w:rPr>
        <w:t>4</w:t>
      </w:r>
    </w:p>
    <w:p w14:paraId="222EECA7" w14:textId="77777777" w:rsidR="00D40E0D" w:rsidRPr="0018643D" w:rsidRDefault="00D40E0D" w:rsidP="007C783A">
      <w:pPr>
        <w:pStyle w:val="Heading1"/>
        <w:numPr>
          <w:ilvl w:val="0"/>
          <w:numId w:val="12"/>
        </w:numPr>
        <w:snapToGrid/>
        <w:ind w:left="0" w:firstLine="0"/>
        <w:rPr>
          <w:b w:val="0"/>
        </w:rPr>
      </w:pPr>
      <w:r w:rsidRPr="0018643D">
        <w:rPr>
          <w:b w:val="0"/>
        </w:rPr>
        <w:t>Track and recall</w:t>
      </w:r>
    </w:p>
    <w:p w14:paraId="7D397DA2" w14:textId="017E670B" w:rsidR="00D40E0D" w:rsidRPr="0018643D" w:rsidRDefault="00D40E0D" w:rsidP="00D40E0D">
      <w:pPr>
        <w:rPr>
          <w:rFonts w:cs="Arial"/>
        </w:rPr>
      </w:pPr>
      <w:r w:rsidRPr="0018643D">
        <w:rPr>
          <w:rFonts w:cs="Arial"/>
        </w:rPr>
        <w:t>Have a track and recall system for referrals to other specialists to check that patients see their specialists, so you can ensure continuity of care. The practice’s clinical information system can be an efficient tool for this purpose.</w:t>
      </w:r>
      <w:r w:rsidR="006472DD" w:rsidRPr="00312B89">
        <w:rPr>
          <w:rFonts w:cs="Arial"/>
          <w:vertAlign w:val="superscript"/>
        </w:rPr>
        <w:t>6</w:t>
      </w:r>
    </w:p>
    <w:p w14:paraId="01620F58" w14:textId="77777777" w:rsidR="00516CD1" w:rsidRPr="0018643D" w:rsidRDefault="00516CD1" w:rsidP="00516CD1">
      <w:pPr>
        <w:pStyle w:val="Boxtype"/>
        <w:pBdr>
          <w:left w:val="single" w:sz="6" w:space="12" w:color="358189"/>
        </w:pBdr>
        <w:ind w:left="360"/>
        <w:rPr>
          <w:bCs/>
          <w:iCs/>
          <w:color w:val="358189"/>
          <w:sz w:val="32"/>
          <w:szCs w:val="28"/>
          <w:lang w:val="en-AU"/>
        </w:rPr>
      </w:pPr>
      <w:r w:rsidRPr="0018643D">
        <w:rPr>
          <w:bCs/>
          <w:iCs/>
          <w:color w:val="358189"/>
          <w:sz w:val="32"/>
          <w:szCs w:val="28"/>
          <w:lang w:val="en-AU"/>
        </w:rPr>
        <w:t>Patient resources</w:t>
      </w:r>
    </w:p>
    <w:p w14:paraId="29F35612" w14:textId="3CC5C9AD" w:rsidR="00516CD1" w:rsidRPr="0018643D" w:rsidRDefault="00516CD1" w:rsidP="00516CD1">
      <w:pPr>
        <w:pStyle w:val="Boxtype"/>
        <w:pBdr>
          <w:left w:val="single" w:sz="6" w:space="12" w:color="358189"/>
        </w:pBdr>
        <w:ind w:left="360"/>
        <w:rPr>
          <w:lang w:eastAsia="en-AU"/>
        </w:rPr>
      </w:pPr>
      <w:r w:rsidRPr="0018643D">
        <w:rPr>
          <w:lang w:eastAsia="en-AU"/>
        </w:rPr>
        <w:t>These resources can support your patients to learn more about referrals and out-of-pocket costs</w:t>
      </w:r>
      <w:r w:rsidR="002D1687">
        <w:rPr>
          <w:lang w:eastAsia="en-AU"/>
        </w:rPr>
        <w:t xml:space="preserve">. They are available at </w:t>
      </w:r>
      <w:hyperlink r:id="rId14" w:history="1">
        <w:r w:rsidR="002D1687" w:rsidRPr="0018643D">
          <w:rPr>
            <w:rStyle w:val="Hyperlink"/>
            <w:spacing w:val="-2"/>
          </w:rPr>
          <w:t>medicalcostsfinder.health.gov.au/resources</w:t>
        </w:r>
      </w:hyperlink>
      <w:r w:rsidR="002D1687" w:rsidRPr="0018643D">
        <w:rPr>
          <w:spacing w:val="-2"/>
        </w:rPr>
        <w:t>.</w:t>
      </w:r>
    </w:p>
    <w:p w14:paraId="4FDA87DE" w14:textId="1BB0DC54" w:rsidR="00B676F4" w:rsidRPr="00FA38F4" w:rsidRDefault="00000000" w:rsidP="001C0A64">
      <w:pPr>
        <w:pStyle w:val="Boxtype"/>
        <w:numPr>
          <w:ilvl w:val="0"/>
          <w:numId w:val="20"/>
        </w:numPr>
        <w:pBdr>
          <w:left w:val="single" w:sz="6" w:space="12" w:color="358189"/>
        </w:pBdr>
        <w:rPr>
          <w:lang w:eastAsia="en-AU"/>
        </w:rPr>
      </w:pPr>
      <w:hyperlink r:id="rId15" w:history="1">
        <w:r w:rsidR="00B676F4" w:rsidRPr="00312B89">
          <w:rPr>
            <w:rStyle w:val="Hyperlink"/>
            <w:lang w:eastAsia="en-AU"/>
          </w:rPr>
          <w:t>So, you need to see a specialist?</w:t>
        </w:r>
      </w:hyperlink>
    </w:p>
    <w:p w14:paraId="0C067CDD" w14:textId="2B259B5A" w:rsidR="0041344F" w:rsidRPr="001C0A64" w:rsidRDefault="00000000" w:rsidP="001C0A64">
      <w:pPr>
        <w:pStyle w:val="Boxtype"/>
        <w:numPr>
          <w:ilvl w:val="0"/>
          <w:numId w:val="20"/>
        </w:numPr>
        <w:pBdr>
          <w:left w:val="single" w:sz="6" w:space="12" w:color="358189"/>
        </w:pBdr>
        <w:rPr>
          <w:lang w:eastAsia="en-AU"/>
        </w:rPr>
      </w:pPr>
      <w:hyperlink r:id="rId16" w:history="1">
        <w:r w:rsidR="0041344F" w:rsidRPr="00312B89">
          <w:rPr>
            <w:rStyle w:val="Hyperlink"/>
            <w:lang w:eastAsia="en-AU"/>
          </w:rPr>
          <w:t xml:space="preserve">A guide to </w:t>
        </w:r>
        <w:r w:rsidR="00850CAF" w:rsidRPr="00312B89">
          <w:rPr>
            <w:rStyle w:val="Hyperlink"/>
            <w:lang w:eastAsia="en-AU"/>
          </w:rPr>
          <w:t>out-of-pocket</w:t>
        </w:r>
        <w:r w:rsidR="0041344F" w:rsidRPr="00312B89">
          <w:rPr>
            <w:rStyle w:val="Hyperlink"/>
            <w:lang w:eastAsia="en-AU"/>
          </w:rPr>
          <w:t xml:space="preserve"> medical costs – helping you plan for the cost of medical treatment</w:t>
        </w:r>
      </w:hyperlink>
    </w:p>
    <w:p w14:paraId="3499BEB4" w14:textId="3359622E" w:rsidR="00FA38F4" w:rsidRPr="00312B89" w:rsidRDefault="00000000" w:rsidP="00312B89">
      <w:pPr>
        <w:pStyle w:val="Boxtype"/>
        <w:numPr>
          <w:ilvl w:val="0"/>
          <w:numId w:val="20"/>
        </w:numPr>
        <w:pBdr>
          <w:left w:val="single" w:sz="6" w:space="12" w:color="358189"/>
        </w:pBdr>
        <w:rPr>
          <w:lang w:eastAsia="en-AU"/>
        </w:rPr>
      </w:pPr>
      <w:hyperlink r:id="rId17" w:history="1">
        <w:r w:rsidR="006977D2" w:rsidRPr="00312B89">
          <w:rPr>
            <w:rStyle w:val="Hyperlink"/>
            <w:lang w:eastAsia="en-AU"/>
          </w:rPr>
          <w:t xml:space="preserve">A guide for </w:t>
        </w:r>
        <w:r w:rsidR="00630729" w:rsidRPr="00312B89">
          <w:rPr>
            <w:rStyle w:val="Hyperlink"/>
            <w:lang w:eastAsia="en-AU"/>
          </w:rPr>
          <w:t xml:space="preserve">patients – </w:t>
        </w:r>
        <w:r w:rsidR="0041344F" w:rsidRPr="00312B89">
          <w:rPr>
            <w:rStyle w:val="Hyperlink"/>
            <w:lang w:eastAsia="en-AU"/>
          </w:rPr>
          <w:t xml:space="preserve">choosing </w:t>
        </w:r>
        <w:r w:rsidR="00516CD1" w:rsidRPr="00312B89">
          <w:rPr>
            <w:rStyle w:val="Hyperlink"/>
            <w:lang w:eastAsia="en-AU"/>
          </w:rPr>
          <w:t>a specialist.</w:t>
        </w:r>
      </w:hyperlink>
      <w:r w:rsidR="00FA38F4" w:rsidRPr="00312B89">
        <w:rPr>
          <w:lang w:eastAsia="en-AU"/>
        </w:rPr>
        <w:t xml:space="preserve"> </w:t>
      </w:r>
    </w:p>
    <w:p w14:paraId="762A1F29" w14:textId="488D4F65" w:rsidR="002516E8" w:rsidRPr="0018643D" w:rsidRDefault="00312B89" w:rsidP="00011503">
      <w:pPr>
        <w:ind w:left="359"/>
        <w:rPr>
          <w:rFonts w:cs="Arial"/>
        </w:rPr>
      </w:pPr>
      <w:r>
        <w:rPr>
          <w:noProof/>
        </w:rPr>
        <w:lastRenderedPageBreak/>
        <w:drawing>
          <wp:inline distT="0" distB="0" distL="0" distR="0" wp14:anchorId="0F5EA070" wp14:editId="702BAF4E">
            <wp:extent cx="3686175" cy="788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86175" cy="7886700"/>
                    </a:xfrm>
                    <a:prstGeom prst="rect">
                      <a:avLst/>
                    </a:prstGeom>
                  </pic:spPr>
                </pic:pic>
              </a:graphicData>
            </a:graphic>
          </wp:inline>
        </w:drawing>
      </w:r>
    </w:p>
    <w:p w14:paraId="5213207A" w14:textId="77777777" w:rsidR="007C783A" w:rsidRPr="0018643D" w:rsidRDefault="007C783A" w:rsidP="007C783A">
      <w:pPr>
        <w:rPr>
          <w:rFonts w:cs="Arial"/>
        </w:rPr>
      </w:pPr>
      <w:r w:rsidRPr="0018643D">
        <w:rPr>
          <w:rFonts w:cs="Arial"/>
          <w:b/>
        </w:rPr>
        <w:br w:type="page"/>
      </w:r>
    </w:p>
    <w:p w14:paraId="3CB2BDC2" w14:textId="68A9B860" w:rsidR="00DA4049" w:rsidRPr="0018643D" w:rsidRDefault="00DA4049" w:rsidP="007C783A">
      <w:pPr>
        <w:pStyle w:val="Heading1"/>
        <w:snapToGrid/>
        <w:rPr>
          <w:b w:val="0"/>
        </w:rPr>
      </w:pPr>
      <w:r w:rsidRPr="0018643D">
        <w:rPr>
          <w:b w:val="0"/>
        </w:rPr>
        <w:lastRenderedPageBreak/>
        <w:t>References</w:t>
      </w:r>
    </w:p>
    <w:p w14:paraId="61D3DA7F" w14:textId="44941F99" w:rsidR="00FE2E42" w:rsidRDefault="009174A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Australian Medical Association. Informed Financial Consent.</w:t>
      </w:r>
      <w:r>
        <w:rPr>
          <w:rFonts w:cs="Arial"/>
          <w:color w:val="000000"/>
          <w:sz w:val="18"/>
          <w:szCs w:val="18"/>
          <w:lang w:val="en-GB"/>
        </w:rPr>
        <w:t xml:space="preserve"> </w:t>
      </w:r>
      <w:r w:rsidR="009B75A6">
        <w:rPr>
          <w:rFonts w:cs="Arial"/>
          <w:color w:val="000000"/>
          <w:sz w:val="18"/>
          <w:szCs w:val="18"/>
          <w:lang w:val="en-GB"/>
        </w:rPr>
        <w:t xml:space="preserve">2020 </w:t>
      </w:r>
      <w:r w:rsidR="00DD4668">
        <w:rPr>
          <w:rFonts w:cs="Arial"/>
          <w:color w:val="000000"/>
          <w:sz w:val="18"/>
          <w:szCs w:val="18"/>
          <w:lang w:val="en-GB"/>
        </w:rPr>
        <w:t xml:space="preserve"> </w:t>
      </w:r>
      <w:hyperlink r:id="rId19" w:history="1">
        <w:r w:rsidR="00F8696D" w:rsidRPr="00E83C46">
          <w:rPr>
            <w:rStyle w:val="Hyperlink"/>
            <w:rFonts w:cs="Arial"/>
            <w:sz w:val="18"/>
            <w:szCs w:val="18"/>
            <w:lang w:val="en-GB"/>
          </w:rPr>
          <w:t>www.ama.com.au/articles/informed-financial-consent</w:t>
        </w:r>
      </w:hyperlink>
      <w:r w:rsidR="00F8696D">
        <w:rPr>
          <w:rFonts w:cs="Arial"/>
          <w:color w:val="000000"/>
          <w:sz w:val="18"/>
          <w:szCs w:val="18"/>
          <w:lang w:val="en-GB"/>
        </w:rPr>
        <w:t xml:space="preserve"> </w:t>
      </w:r>
      <w:r w:rsidR="007F039F">
        <w:rPr>
          <w:rFonts w:cs="Arial"/>
          <w:color w:val="000000"/>
          <w:sz w:val="18"/>
          <w:szCs w:val="18"/>
          <w:lang w:val="en-GB"/>
        </w:rPr>
        <w:t>(accessed 14 December 2023)</w:t>
      </w:r>
    </w:p>
    <w:p w14:paraId="3026983D" w14:textId="68E66F35"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proofErr w:type="spellStart"/>
      <w:r w:rsidRPr="0018643D">
        <w:rPr>
          <w:rFonts w:cs="Arial"/>
          <w:color w:val="000000"/>
          <w:sz w:val="18"/>
          <w:szCs w:val="18"/>
          <w:lang w:val="en-GB"/>
        </w:rPr>
        <w:t>Dunlea</w:t>
      </w:r>
      <w:proofErr w:type="spellEnd"/>
      <w:r w:rsidRPr="0018643D">
        <w:rPr>
          <w:rFonts w:cs="Arial"/>
          <w:color w:val="000000"/>
          <w:sz w:val="18"/>
          <w:szCs w:val="18"/>
          <w:lang w:val="en-GB"/>
        </w:rPr>
        <w:t xml:space="preserve"> R, </w:t>
      </w:r>
      <w:proofErr w:type="spellStart"/>
      <w:r w:rsidRPr="0018643D">
        <w:rPr>
          <w:rFonts w:cs="Arial"/>
          <w:color w:val="000000"/>
          <w:sz w:val="18"/>
          <w:szCs w:val="18"/>
          <w:lang w:val="en-GB"/>
        </w:rPr>
        <w:t>Lenert</w:t>
      </w:r>
      <w:proofErr w:type="spellEnd"/>
      <w:r w:rsidRPr="0018643D">
        <w:rPr>
          <w:rFonts w:cs="Arial"/>
          <w:color w:val="000000"/>
          <w:sz w:val="18"/>
          <w:szCs w:val="18"/>
          <w:lang w:val="en-GB"/>
        </w:rPr>
        <w:t xml:space="preserve"> L. Understanding Patients’ Preferences for Referrals to Specialists for an Asymptomatic Condition. Medical decision </w:t>
      </w:r>
      <w:proofErr w:type="gramStart"/>
      <w:r w:rsidRPr="0018643D">
        <w:rPr>
          <w:rFonts w:cs="Arial"/>
          <w:color w:val="000000"/>
          <w:sz w:val="18"/>
          <w:szCs w:val="18"/>
          <w:lang w:val="en-GB"/>
        </w:rPr>
        <w:t>making :</w:t>
      </w:r>
      <w:proofErr w:type="gramEnd"/>
      <w:r w:rsidRPr="0018643D">
        <w:rPr>
          <w:rFonts w:cs="Arial"/>
          <w:color w:val="000000"/>
          <w:sz w:val="18"/>
          <w:szCs w:val="18"/>
          <w:lang w:val="en-GB"/>
        </w:rPr>
        <w:t xml:space="preserve"> an international journal of the Society for Medical Decision Making 2015;35:691-702. </w:t>
      </w:r>
      <w:hyperlink r:id="rId20" w:history="1">
        <w:r w:rsidR="00C268D9" w:rsidRPr="00E83C46">
          <w:rPr>
            <w:rStyle w:val="Hyperlink"/>
            <w:rFonts w:cs="Arial"/>
            <w:sz w:val="18"/>
            <w:szCs w:val="18"/>
            <w:lang w:val="en-GB"/>
          </w:rPr>
          <w:t>https://pubmed.ncbi.nlm.nih.gov/25589523</w:t>
        </w:r>
      </w:hyperlink>
      <w:r w:rsidRPr="0018643D">
        <w:rPr>
          <w:rFonts w:cs="Arial"/>
          <w:color w:val="000000"/>
          <w:sz w:val="18"/>
          <w:szCs w:val="18"/>
          <w:lang w:val="en-GB"/>
        </w:rPr>
        <w:t>.</w:t>
      </w:r>
      <w:r w:rsidR="00C268D9">
        <w:rPr>
          <w:rFonts w:cs="Arial"/>
          <w:color w:val="000000"/>
          <w:sz w:val="18"/>
          <w:szCs w:val="18"/>
          <w:lang w:val="en-GB"/>
        </w:rPr>
        <w:t xml:space="preserve"> </w:t>
      </w:r>
    </w:p>
    <w:p w14:paraId="6985B835" w14:textId="5D479544"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Royal Australian College of General Practitioners. Information sheet: Informed patient decisions. East Melbourne: Royal Australian College of General Practitioners, 2019. https://www.racgp.org.au/FSDEDEV/media/documents/Running%20a%20practice/Practice%20standards/5th%20edition/RACGP-Information-sheet-Informed-patient-decisions.pdf </w:t>
      </w:r>
      <w:r w:rsidRPr="0018643D">
        <w:rPr>
          <w:rFonts w:cs="Arial"/>
          <w:color w:val="000000"/>
          <w:sz w:val="18"/>
          <w:szCs w:val="18"/>
          <w:lang w:val="en-GB"/>
        </w:rPr>
        <w:br/>
        <w:t xml:space="preserve">(accessed </w:t>
      </w:r>
      <w:r w:rsidR="00BE686F">
        <w:rPr>
          <w:rFonts w:cs="Arial"/>
          <w:color w:val="000000"/>
          <w:sz w:val="18"/>
          <w:szCs w:val="18"/>
          <w:lang w:val="en-GB"/>
        </w:rPr>
        <w:t>14 December 2023</w:t>
      </w:r>
      <w:r w:rsidRPr="0018643D">
        <w:rPr>
          <w:rFonts w:cs="Arial"/>
          <w:color w:val="000000"/>
          <w:sz w:val="18"/>
          <w:szCs w:val="18"/>
          <w:lang w:val="en-GB"/>
        </w:rPr>
        <w:t>).</w:t>
      </w:r>
    </w:p>
    <w:p w14:paraId="49F8A617" w14:textId="22E8BA5D"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Productivity Commission. Introducing Competition and Informed User Choice into Human Services: Reforms to Human Services, Inquiry Report. Canberra: Productivity Commission, 2017. https://www.pc.gov.au/inquiries/completed/human-services/reforms/report (accessed 14 </w:t>
      </w:r>
      <w:r w:rsidR="0088687F">
        <w:rPr>
          <w:rFonts w:cs="Arial"/>
          <w:color w:val="000000"/>
          <w:sz w:val="18"/>
          <w:szCs w:val="18"/>
          <w:lang w:val="en-GB"/>
        </w:rPr>
        <w:t>December</w:t>
      </w:r>
      <w:r w:rsidR="0088687F" w:rsidRPr="0018643D">
        <w:rPr>
          <w:rFonts w:cs="Arial"/>
          <w:color w:val="000000"/>
          <w:sz w:val="18"/>
          <w:szCs w:val="18"/>
          <w:lang w:val="en-GB"/>
        </w:rPr>
        <w:t xml:space="preserve"> </w:t>
      </w:r>
      <w:r w:rsidRPr="0018643D">
        <w:rPr>
          <w:rFonts w:cs="Arial"/>
          <w:color w:val="000000"/>
          <w:sz w:val="18"/>
          <w:szCs w:val="18"/>
          <w:lang w:val="en-GB"/>
        </w:rPr>
        <w:t>202</w:t>
      </w:r>
      <w:r w:rsidR="0088687F">
        <w:rPr>
          <w:rFonts w:cs="Arial"/>
          <w:color w:val="000000"/>
          <w:sz w:val="18"/>
          <w:szCs w:val="18"/>
          <w:lang w:val="en-GB"/>
        </w:rPr>
        <w:t>3</w:t>
      </w:r>
      <w:r w:rsidRPr="0018643D">
        <w:rPr>
          <w:rFonts w:cs="Arial"/>
          <w:color w:val="000000"/>
          <w:sz w:val="18"/>
          <w:szCs w:val="18"/>
          <w:lang w:val="en-GB"/>
        </w:rPr>
        <w:t>).</w:t>
      </w:r>
    </w:p>
    <w:p w14:paraId="63089C37" w14:textId="554245D2"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Allen J, King R, </w:t>
      </w:r>
      <w:proofErr w:type="spellStart"/>
      <w:r w:rsidRPr="0018643D">
        <w:rPr>
          <w:rFonts w:cs="Arial"/>
          <w:color w:val="000000"/>
          <w:sz w:val="18"/>
          <w:szCs w:val="18"/>
          <w:lang w:val="en-GB"/>
        </w:rPr>
        <w:t>Goergen</w:t>
      </w:r>
      <w:proofErr w:type="spellEnd"/>
      <w:r w:rsidRPr="0018643D">
        <w:rPr>
          <w:rFonts w:cs="Arial"/>
          <w:color w:val="000000"/>
          <w:sz w:val="18"/>
          <w:szCs w:val="18"/>
          <w:lang w:val="en-GB"/>
        </w:rPr>
        <w:t xml:space="preserve"> SK, et al. </w:t>
      </w:r>
      <w:proofErr w:type="spellStart"/>
      <w:r w:rsidRPr="0018643D">
        <w:rPr>
          <w:rFonts w:cs="Arial"/>
          <w:color w:val="000000"/>
          <w:sz w:val="18"/>
          <w:szCs w:val="18"/>
          <w:lang w:val="en-GB"/>
        </w:rPr>
        <w:t>Semistructured</w:t>
      </w:r>
      <w:proofErr w:type="spellEnd"/>
      <w:r w:rsidRPr="0018643D">
        <w:rPr>
          <w:rFonts w:cs="Arial"/>
          <w:color w:val="000000"/>
          <w:sz w:val="18"/>
          <w:szCs w:val="18"/>
          <w:lang w:val="en-GB"/>
        </w:rPr>
        <w:t xml:space="preserve"> interviews regarding patients’ perceptions of Choosing Wisely and shared decision-making: an Australian study. BMJ Open 2019;</w:t>
      </w:r>
      <w:proofErr w:type="gramStart"/>
      <w:r w:rsidRPr="0018643D">
        <w:rPr>
          <w:rFonts w:cs="Arial"/>
          <w:color w:val="000000"/>
          <w:sz w:val="18"/>
          <w:szCs w:val="18"/>
          <w:lang w:val="en-GB"/>
        </w:rPr>
        <w:t>9:e</w:t>
      </w:r>
      <w:proofErr w:type="gramEnd"/>
      <w:r w:rsidRPr="0018643D">
        <w:rPr>
          <w:rFonts w:cs="Arial"/>
          <w:color w:val="000000"/>
          <w:sz w:val="18"/>
          <w:szCs w:val="18"/>
          <w:lang w:val="en-GB"/>
        </w:rPr>
        <w:t>031831. https://bmjopen.bmj.com/content/bmjopen/9/8/e031831.full.pdf</w:t>
      </w:r>
    </w:p>
    <w:p w14:paraId="1827B32F" w14:textId="1B498DED"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Royal Australian College of General Practitioners. Standards for general practices. East Melbourne: Royal Australian College of General Practitioners, 2020. https://www.racgp.org.au/running-a-practice/practice-standards/standards-5th-edition/standards-for-general-practices-5th-ed </w:t>
      </w:r>
      <w:r w:rsidRPr="0018643D">
        <w:rPr>
          <w:rFonts w:cs="Arial"/>
          <w:color w:val="000000"/>
          <w:sz w:val="18"/>
          <w:szCs w:val="18"/>
          <w:lang w:val="en-GB"/>
        </w:rPr>
        <w:br/>
        <w:t xml:space="preserve">(accessed 14 </w:t>
      </w:r>
      <w:r w:rsidR="00453F38">
        <w:rPr>
          <w:rFonts w:cs="Arial"/>
          <w:color w:val="000000"/>
          <w:sz w:val="18"/>
          <w:szCs w:val="18"/>
          <w:lang w:val="en-GB"/>
        </w:rPr>
        <w:t>December</w:t>
      </w:r>
      <w:r w:rsidR="00453F38" w:rsidRPr="0018643D">
        <w:rPr>
          <w:rFonts w:cs="Arial"/>
          <w:color w:val="000000"/>
          <w:sz w:val="18"/>
          <w:szCs w:val="18"/>
          <w:lang w:val="en-GB"/>
        </w:rPr>
        <w:t xml:space="preserve"> </w:t>
      </w:r>
      <w:r w:rsidRPr="0018643D">
        <w:rPr>
          <w:rFonts w:cs="Arial"/>
          <w:color w:val="000000"/>
          <w:sz w:val="18"/>
          <w:szCs w:val="18"/>
          <w:lang w:val="en-GB"/>
        </w:rPr>
        <w:t>202</w:t>
      </w:r>
      <w:r w:rsidR="00453F38">
        <w:rPr>
          <w:rFonts w:cs="Arial"/>
          <w:color w:val="000000"/>
          <w:sz w:val="18"/>
          <w:szCs w:val="18"/>
          <w:lang w:val="en-GB"/>
        </w:rPr>
        <w:t>3</w:t>
      </w:r>
      <w:r w:rsidRPr="0018643D">
        <w:rPr>
          <w:rFonts w:cs="Arial"/>
          <w:color w:val="000000"/>
          <w:sz w:val="18"/>
          <w:szCs w:val="18"/>
          <w:lang w:val="en-GB"/>
        </w:rPr>
        <w:t>).</w:t>
      </w:r>
    </w:p>
    <w:p w14:paraId="329B067B" w14:textId="49BCAFBD"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Di Blasi Z, Harkness E, Ernst E, et al. Influence of context effects on health outcomes: a systematic review. Lancet </w:t>
      </w:r>
      <w:proofErr w:type="gramStart"/>
      <w:r w:rsidRPr="0018643D">
        <w:rPr>
          <w:rFonts w:cs="Arial"/>
          <w:color w:val="000000"/>
          <w:sz w:val="18"/>
          <w:szCs w:val="18"/>
          <w:lang w:val="en-GB"/>
        </w:rPr>
        <w:t>2001;357:757</w:t>
      </w:r>
      <w:proofErr w:type="gramEnd"/>
      <w:r w:rsidRPr="0018643D">
        <w:rPr>
          <w:rFonts w:cs="Arial"/>
          <w:color w:val="000000"/>
          <w:sz w:val="18"/>
          <w:szCs w:val="18"/>
          <w:lang w:val="en-GB"/>
        </w:rPr>
        <w:t>-62.</w:t>
      </w:r>
    </w:p>
    <w:p w14:paraId="00547BC6" w14:textId="43461846" w:rsidR="00DA4049" w:rsidRPr="0018643D"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 xml:space="preserve">Services Australia. Referring and requesting Medicare services. Canberra: Services Australia, 2020. https://www.servicesaustralia.gov.au/organisations/health-professionals/subjects/referring-and-requesting-medicare-services (accessed 14 </w:t>
      </w:r>
      <w:r w:rsidR="00960730">
        <w:rPr>
          <w:rFonts w:cs="Arial"/>
          <w:color w:val="000000"/>
          <w:sz w:val="18"/>
          <w:szCs w:val="18"/>
          <w:lang w:val="en-GB"/>
        </w:rPr>
        <w:t>December</w:t>
      </w:r>
      <w:r w:rsidR="00960730" w:rsidRPr="0018643D">
        <w:rPr>
          <w:rFonts w:cs="Arial"/>
          <w:color w:val="000000"/>
          <w:sz w:val="18"/>
          <w:szCs w:val="18"/>
          <w:lang w:val="en-GB"/>
        </w:rPr>
        <w:t xml:space="preserve"> </w:t>
      </w:r>
      <w:r w:rsidRPr="0018643D">
        <w:rPr>
          <w:rFonts w:cs="Arial"/>
          <w:color w:val="000000"/>
          <w:sz w:val="18"/>
          <w:szCs w:val="18"/>
          <w:lang w:val="en-GB"/>
        </w:rPr>
        <w:t>202</w:t>
      </w:r>
      <w:r w:rsidR="00960730">
        <w:rPr>
          <w:rFonts w:cs="Arial"/>
          <w:color w:val="000000"/>
          <w:sz w:val="18"/>
          <w:szCs w:val="18"/>
          <w:lang w:val="en-GB"/>
        </w:rPr>
        <w:t>3</w:t>
      </w:r>
      <w:r w:rsidRPr="0018643D">
        <w:rPr>
          <w:rFonts w:cs="Arial"/>
          <w:color w:val="000000"/>
          <w:sz w:val="18"/>
          <w:szCs w:val="18"/>
          <w:lang w:val="en-GB"/>
        </w:rPr>
        <w:t>).</w:t>
      </w:r>
    </w:p>
    <w:p w14:paraId="26E17E6F" w14:textId="5AEBC259" w:rsidR="00DA4049" w:rsidRPr="00A6288E" w:rsidRDefault="00DA4049"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rFonts w:cs="Arial"/>
          <w:color w:val="000000"/>
          <w:sz w:val="18"/>
          <w:szCs w:val="18"/>
          <w:lang w:val="en-GB"/>
        </w:rPr>
      </w:pPr>
      <w:r w:rsidRPr="0018643D">
        <w:rPr>
          <w:rFonts w:cs="Arial"/>
          <w:color w:val="000000"/>
          <w:sz w:val="18"/>
          <w:szCs w:val="18"/>
          <w:lang w:val="en-GB"/>
        </w:rPr>
        <w:t>Australian Government Department of Health</w:t>
      </w:r>
      <w:r w:rsidR="00DB4F68">
        <w:rPr>
          <w:rFonts w:cs="Arial"/>
          <w:color w:val="000000"/>
          <w:sz w:val="18"/>
          <w:szCs w:val="18"/>
          <w:lang w:val="en-GB"/>
        </w:rPr>
        <w:t xml:space="preserve"> and Aged Care</w:t>
      </w:r>
      <w:r w:rsidRPr="0018643D">
        <w:rPr>
          <w:rFonts w:cs="Arial"/>
          <w:color w:val="000000"/>
          <w:sz w:val="18"/>
          <w:szCs w:val="18"/>
          <w:lang w:val="en-GB"/>
        </w:rPr>
        <w:t xml:space="preserve">. Report: Ministerial advisory committee on </w:t>
      </w:r>
      <w:proofErr w:type="gramStart"/>
      <w:r w:rsidRPr="0018643D">
        <w:rPr>
          <w:rFonts w:cs="Arial"/>
          <w:color w:val="000000"/>
          <w:sz w:val="18"/>
          <w:szCs w:val="18"/>
          <w:lang w:val="en-GB"/>
        </w:rPr>
        <w:t>out of pocket</w:t>
      </w:r>
      <w:proofErr w:type="gramEnd"/>
      <w:r w:rsidRPr="0018643D">
        <w:rPr>
          <w:rFonts w:cs="Arial"/>
          <w:color w:val="000000"/>
          <w:sz w:val="18"/>
          <w:szCs w:val="18"/>
          <w:lang w:val="en-GB"/>
        </w:rPr>
        <w:t xml:space="preserve"> costs. 2018. </w:t>
      </w:r>
      <w:hyperlink r:id="rId21" w:history="1">
        <w:r w:rsidR="00A0300C" w:rsidRPr="00E83C46">
          <w:rPr>
            <w:rStyle w:val="Hyperlink"/>
            <w:rFonts w:cs="Arial"/>
            <w:sz w:val="18"/>
            <w:szCs w:val="18"/>
            <w:lang w:val="en-GB"/>
          </w:rPr>
          <w:t>www.health.gov.au/committees-and-groups/ministerial-advisory-committee-on-out-of-pocket-costs</w:t>
        </w:r>
      </w:hyperlink>
      <w:r w:rsidR="00A0300C">
        <w:rPr>
          <w:rFonts w:cs="Arial"/>
          <w:color w:val="000000"/>
          <w:sz w:val="18"/>
          <w:szCs w:val="18"/>
          <w:lang w:val="en-GB"/>
        </w:rPr>
        <w:t xml:space="preserve"> </w:t>
      </w:r>
      <w:r w:rsidRPr="00A6288E">
        <w:rPr>
          <w:rFonts w:cs="Arial"/>
          <w:color w:val="000000"/>
          <w:sz w:val="18"/>
          <w:szCs w:val="18"/>
          <w:lang w:val="en-GB"/>
        </w:rPr>
        <w:t xml:space="preserve">(accessed 14 </w:t>
      </w:r>
      <w:r w:rsidR="00087E15">
        <w:rPr>
          <w:rFonts w:cs="Arial"/>
          <w:color w:val="000000"/>
          <w:sz w:val="18"/>
          <w:szCs w:val="18"/>
          <w:lang w:val="en-GB"/>
        </w:rPr>
        <w:t>December</w:t>
      </w:r>
      <w:r w:rsidR="00087E15" w:rsidRPr="00A6288E">
        <w:rPr>
          <w:rFonts w:cs="Arial"/>
          <w:color w:val="000000"/>
          <w:sz w:val="18"/>
          <w:szCs w:val="18"/>
          <w:lang w:val="en-GB"/>
        </w:rPr>
        <w:t xml:space="preserve"> </w:t>
      </w:r>
      <w:r w:rsidRPr="00A6288E">
        <w:rPr>
          <w:rFonts w:cs="Arial"/>
          <w:color w:val="000000"/>
          <w:sz w:val="18"/>
          <w:szCs w:val="18"/>
          <w:lang w:val="en-GB"/>
        </w:rPr>
        <w:t>202</w:t>
      </w:r>
      <w:r w:rsidR="00087E15">
        <w:rPr>
          <w:rFonts w:cs="Arial"/>
          <w:color w:val="000000"/>
          <w:sz w:val="18"/>
          <w:szCs w:val="18"/>
          <w:lang w:val="en-GB"/>
        </w:rPr>
        <w:t>3</w:t>
      </w:r>
      <w:r w:rsidRPr="00A6288E">
        <w:rPr>
          <w:rFonts w:cs="Arial"/>
          <w:color w:val="000000"/>
          <w:sz w:val="18"/>
          <w:szCs w:val="18"/>
          <w:lang w:val="en-GB"/>
        </w:rPr>
        <w:t>).</w:t>
      </w:r>
    </w:p>
    <w:p w14:paraId="63D3D8A1" w14:textId="673C89B7" w:rsidR="00E54A5D" w:rsidRPr="009A6799" w:rsidRDefault="00DF19B1" w:rsidP="009A6799">
      <w:pPr>
        <w:pStyle w:val="ListParagraph"/>
        <w:numPr>
          <w:ilvl w:val="0"/>
          <w:numId w:val="18"/>
        </w:numPr>
        <w:tabs>
          <w:tab w:val="left" w:pos="340"/>
        </w:tabs>
        <w:suppressAutoHyphens/>
        <w:autoSpaceDE w:val="0"/>
        <w:autoSpaceDN w:val="0"/>
        <w:adjustRightInd w:val="0"/>
        <w:snapToGrid/>
        <w:spacing w:line="240" w:lineRule="atLeast"/>
        <w:ind w:left="714" w:hanging="357"/>
        <w:textAlignment w:val="center"/>
        <w:rPr>
          <w:lang w:val="en-GB"/>
        </w:rPr>
      </w:pPr>
      <w:r w:rsidRPr="00D9796C">
        <w:rPr>
          <w:rFonts w:cs="Arial"/>
          <w:color w:val="000000"/>
          <w:sz w:val="18"/>
          <w:szCs w:val="18"/>
          <w:lang w:val="en-GB"/>
        </w:rPr>
        <w:t xml:space="preserve">Commonwealth of Australia (2020). Addendum to National Health Reform Agreement, 2020-2025. </w:t>
      </w:r>
      <w:hyperlink r:id="rId22" w:history="1">
        <w:r w:rsidR="00B32F05" w:rsidRPr="00E83C46">
          <w:rPr>
            <w:rStyle w:val="Hyperlink"/>
            <w:rFonts w:cs="Arial"/>
            <w:sz w:val="18"/>
            <w:szCs w:val="18"/>
            <w:lang w:val="en-GB"/>
          </w:rPr>
          <w:t>https://federalfinancialrelations.gov.au/sites/federalfinancialrelations.gov.au/files/2021-07/NHRA_2020-25_Addendum_consolidated.pdf</w:t>
        </w:r>
      </w:hyperlink>
      <w:r w:rsidRPr="00D9796C">
        <w:rPr>
          <w:rFonts w:cs="Arial"/>
          <w:color w:val="000000"/>
          <w:sz w:val="18"/>
          <w:szCs w:val="18"/>
          <w:lang w:val="en-GB"/>
        </w:rPr>
        <w:t>.</w:t>
      </w:r>
      <w:r w:rsidR="00B32F05">
        <w:rPr>
          <w:rFonts w:cs="Arial"/>
          <w:color w:val="000000"/>
          <w:sz w:val="18"/>
          <w:szCs w:val="18"/>
          <w:lang w:val="en-GB"/>
        </w:rPr>
        <w:t xml:space="preserve"> (</w:t>
      </w:r>
      <w:proofErr w:type="gramStart"/>
      <w:r w:rsidR="00B32F05">
        <w:rPr>
          <w:rFonts w:cs="Arial"/>
          <w:color w:val="000000"/>
          <w:sz w:val="18"/>
          <w:szCs w:val="18"/>
          <w:lang w:val="en-GB"/>
        </w:rPr>
        <w:t>accessed</w:t>
      </w:r>
      <w:proofErr w:type="gramEnd"/>
      <w:r w:rsidR="00B32F05">
        <w:rPr>
          <w:rFonts w:cs="Arial"/>
          <w:color w:val="000000"/>
          <w:sz w:val="18"/>
          <w:szCs w:val="18"/>
          <w:lang w:val="en-GB"/>
        </w:rPr>
        <w:t xml:space="preserve"> 14 December 2023)</w:t>
      </w:r>
    </w:p>
    <w:sectPr w:rsidR="00E54A5D" w:rsidRPr="009A6799" w:rsidSect="007C783A">
      <w:footerReference w:type="default" r:id="rId23"/>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6D199" w14:textId="77777777" w:rsidR="007C1CDE" w:rsidRDefault="007C1CDE" w:rsidP="00A41AC8">
      <w:pPr>
        <w:spacing w:after="0"/>
      </w:pPr>
      <w:r>
        <w:separator/>
      </w:r>
    </w:p>
  </w:endnote>
  <w:endnote w:type="continuationSeparator" w:id="0">
    <w:p w14:paraId="379E63D1" w14:textId="77777777" w:rsidR="007C1CDE" w:rsidRDefault="007C1CDE" w:rsidP="00A41AC8">
      <w:pPr>
        <w:spacing w:after="0"/>
      </w:pPr>
      <w:r>
        <w:continuationSeparator/>
      </w:r>
    </w:p>
  </w:endnote>
  <w:endnote w:type="continuationNotice" w:id="1">
    <w:p w14:paraId="7E19413F" w14:textId="77777777" w:rsidR="007C1CDE" w:rsidRDefault="007C1C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960883"/>
      <w:docPartObj>
        <w:docPartGallery w:val="Page Numbers (Bottom of Page)"/>
        <w:docPartUnique/>
      </w:docPartObj>
    </w:sdtPr>
    <w:sdtEndPr>
      <w:rPr>
        <w:noProof/>
      </w:rPr>
    </w:sdtEndPr>
    <w:sdtContent>
      <w:p w14:paraId="798A417C" w14:textId="67000559" w:rsidR="00793DDC" w:rsidRDefault="00793D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8F0154" w14:textId="1B4D24D2" w:rsidR="00E833F2" w:rsidRPr="005439E3" w:rsidRDefault="00E833F2" w:rsidP="00BD575A">
    <w:pPr>
      <w:pStyle w:val="Footer"/>
      <w:jc w:val="right"/>
      <w:rPr>
        <w:rFonts w:cstheme="minorHAnsi"/>
        <w:i/>
        <w:i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796D" w14:textId="77777777" w:rsidR="007C1CDE" w:rsidRDefault="007C1CDE" w:rsidP="00A41AC8">
      <w:pPr>
        <w:spacing w:after="0"/>
      </w:pPr>
      <w:r>
        <w:separator/>
      </w:r>
    </w:p>
  </w:footnote>
  <w:footnote w:type="continuationSeparator" w:id="0">
    <w:p w14:paraId="672C7A75" w14:textId="77777777" w:rsidR="007C1CDE" w:rsidRDefault="007C1CDE" w:rsidP="00A41AC8">
      <w:pPr>
        <w:spacing w:after="0"/>
      </w:pPr>
      <w:r>
        <w:continuationSeparator/>
      </w:r>
    </w:p>
  </w:footnote>
  <w:footnote w:type="continuationNotice" w:id="1">
    <w:p w14:paraId="593C9CA5" w14:textId="77777777" w:rsidR="007C1CDE" w:rsidRDefault="007C1C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EA38" w14:textId="5C242D34" w:rsidR="007C783A" w:rsidRDefault="00312B89">
    <w:pPr>
      <w:pStyle w:val="Header"/>
    </w:pPr>
    <w:r>
      <w:rPr>
        <w:rFonts w:cs="Arial"/>
        <w:b/>
        <w:caps/>
        <w:noProof/>
        <w:color w:val="000000" w:themeColor="text1"/>
        <w:sz w:val="32"/>
        <w:szCs w:val="28"/>
      </w:rPr>
      <w:drawing>
        <wp:anchor distT="0" distB="0" distL="114300" distR="114300" simplePos="0" relativeHeight="251659264" behindDoc="0" locked="0" layoutInCell="1" allowOverlap="1" wp14:anchorId="72E71CAC" wp14:editId="2743EB32">
          <wp:simplePos x="0" y="0"/>
          <wp:positionH relativeFrom="margin">
            <wp:posOffset>0</wp:posOffset>
          </wp:positionH>
          <wp:positionV relativeFrom="paragraph">
            <wp:posOffset>24873</wp:posOffset>
          </wp:positionV>
          <wp:extent cx="2830195" cy="516890"/>
          <wp:effectExtent l="0" t="0" r="8255" b="0"/>
          <wp:wrapSquare wrapText="bothSides"/>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30195" cy="51689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EA87BEA" wp14:editId="73FC9794">
          <wp:extent cx="5731510" cy="138430"/>
          <wp:effectExtent l="0" t="0" r="2540" b="0"/>
          <wp:docPr id="12" name="Picture 12" descr="Australian Government, Department of Health logo"/>
          <wp:cNvGraphicFramePr/>
          <a:graphic xmlns:a="http://schemas.openxmlformats.org/drawingml/2006/main">
            <a:graphicData uri="http://schemas.openxmlformats.org/drawingml/2006/picture">
              <pic:pic xmlns:pic="http://schemas.openxmlformats.org/drawingml/2006/picture">
                <pic:nvPicPr>
                  <pic:cNvPr id="8" name="Picture 8" descr="Australian Government, Department of Health logo"/>
                  <pic:cNvPicPr/>
                </pic:nvPicPr>
                <pic:blipFill rotWithShape="1">
                  <a:blip r:embed="rId3">
                    <a:extLst>
                      <a:ext uri="{28A0092B-C50C-407E-A947-70E740481C1C}">
                        <a14:useLocalDpi xmlns:a14="http://schemas.microsoft.com/office/drawing/2010/main" val="0"/>
                      </a:ext>
                    </a:extLst>
                  </a:blip>
                  <a:srcRect t="85124"/>
                  <a:stretch/>
                </pic:blipFill>
                <pic:spPr bwMode="auto">
                  <a:xfrm>
                    <a:off x="0" y="0"/>
                    <a:ext cx="5731510" cy="1384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812"/>
    <w:multiLevelType w:val="hybridMultilevel"/>
    <w:tmpl w:val="2E0A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E2B78"/>
    <w:multiLevelType w:val="hybridMultilevel"/>
    <w:tmpl w:val="A3823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12703"/>
    <w:multiLevelType w:val="hybridMultilevel"/>
    <w:tmpl w:val="C6CAD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383BA8"/>
    <w:multiLevelType w:val="hybridMultilevel"/>
    <w:tmpl w:val="3FC83C0E"/>
    <w:lvl w:ilvl="0" w:tplc="706A30D8">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61B6D"/>
    <w:multiLevelType w:val="hybridMultilevel"/>
    <w:tmpl w:val="A166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332FF"/>
    <w:multiLevelType w:val="hybridMultilevel"/>
    <w:tmpl w:val="4F96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9105D"/>
    <w:multiLevelType w:val="hybridMultilevel"/>
    <w:tmpl w:val="D5301F3C"/>
    <w:lvl w:ilvl="0" w:tplc="1ECE38D2">
      <w:start w:val="1"/>
      <w:numFmt w:val="decimal"/>
      <w:pStyle w:val="H2"/>
      <w:lvlText w:val="%1."/>
      <w:lvlJc w:val="left"/>
      <w:pPr>
        <w:ind w:left="305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E0E63"/>
    <w:multiLevelType w:val="hybridMultilevel"/>
    <w:tmpl w:val="12549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F7F6C"/>
    <w:multiLevelType w:val="hybridMultilevel"/>
    <w:tmpl w:val="64C8B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793DF0"/>
    <w:multiLevelType w:val="hybridMultilevel"/>
    <w:tmpl w:val="26084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492D7A"/>
    <w:multiLevelType w:val="hybridMultilevel"/>
    <w:tmpl w:val="BC6E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150E5"/>
    <w:multiLevelType w:val="hybridMultilevel"/>
    <w:tmpl w:val="86EC8D46"/>
    <w:lvl w:ilvl="0" w:tplc="634AABF8">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B68F1"/>
    <w:multiLevelType w:val="hybridMultilevel"/>
    <w:tmpl w:val="67ACC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B4B2D"/>
    <w:multiLevelType w:val="multilevel"/>
    <w:tmpl w:val="A628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FE53F6"/>
    <w:multiLevelType w:val="hybridMultilevel"/>
    <w:tmpl w:val="845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C0C50"/>
    <w:multiLevelType w:val="hybridMultilevel"/>
    <w:tmpl w:val="1D5CA3A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4F2FFF"/>
    <w:multiLevelType w:val="hybridMultilevel"/>
    <w:tmpl w:val="02E6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E648F"/>
    <w:multiLevelType w:val="hybridMultilevel"/>
    <w:tmpl w:val="1D14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F45A15"/>
    <w:multiLevelType w:val="hybridMultilevel"/>
    <w:tmpl w:val="533A4D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77902EC4"/>
    <w:multiLevelType w:val="hybridMultilevel"/>
    <w:tmpl w:val="A08C9F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937014521">
    <w:abstractNumId w:val="2"/>
  </w:num>
  <w:num w:numId="2" w16cid:durableId="1641693482">
    <w:abstractNumId w:val="13"/>
  </w:num>
  <w:num w:numId="3" w16cid:durableId="1162282177">
    <w:abstractNumId w:val="16"/>
  </w:num>
  <w:num w:numId="4" w16cid:durableId="1882278588">
    <w:abstractNumId w:val="5"/>
  </w:num>
  <w:num w:numId="5" w16cid:durableId="974288275">
    <w:abstractNumId w:val="9"/>
  </w:num>
  <w:num w:numId="6" w16cid:durableId="1822693126">
    <w:abstractNumId w:val="18"/>
  </w:num>
  <w:num w:numId="7" w16cid:durableId="1883590794">
    <w:abstractNumId w:val="1"/>
  </w:num>
  <w:num w:numId="8" w16cid:durableId="1843006417">
    <w:abstractNumId w:val="8"/>
  </w:num>
  <w:num w:numId="9" w16cid:durableId="1100417696">
    <w:abstractNumId w:val="19"/>
  </w:num>
  <w:num w:numId="10" w16cid:durableId="137461275">
    <w:abstractNumId w:val="17"/>
  </w:num>
  <w:num w:numId="11" w16cid:durableId="58554675">
    <w:abstractNumId w:val="0"/>
  </w:num>
  <w:num w:numId="12" w16cid:durableId="142240383">
    <w:abstractNumId w:val="6"/>
  </w:num>
  <w:num w:numId="13" w16cid:durableId="684408842">
    <w:abstractNumId w:val="4"/>
  </w:num>
  <w:num w:numId="14" w16cid:durableId="1596396324">
    <w:abstractNumId w:val="12"/>
  </w:num>
  <w:num w:numId="15" w16cid:durableId="973827996">
    <w:abstractNumId w:val="7"/>
  </w:num>
  <w:num w:numId="16" w16cid:durableId="2060662654">
    <w:abstractNumId w:val="14"/>
  </w:num>
  <w:num w:numId="17" w16cid:durableId="790368687">
    <w:abstractNumId w:val="10"/>
  </w:num>
  <w:num w:numId="18" w16cid:durableId="554656162">
    <w:abstractNumId w:val="11"/>
  </w:num>
  <w:num w:numId="19" w16cid:durableId="1250700615">
    <w:abstractNumId w:val="3"/>
  </w:num>
  <w:num w:numId="20" w16cid:durableId="132991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6A"/>
    <w:rsid w:val="00004627"/>
    <w:rsid w:val="00011503"/>
    <w:rsid w:val="0001716F"/>
    <w:rsid w:val="00037505"/>
    <w:rsid w:val="00044142"/>
    <w:rsid w:val="00060A5F"/>
    <w:rsid w:val="000667FD"/>
    <w:rsid w:val="00071752"/>
    <w:rsid w:val="00087E15"/>
    <w:rsid w:val="00097AC0"/>
    <w:rsid w:val="00097FB4"/>
    <w:rsid w:val="000A1E40"/>
    <w:rsid w:val="000A6994"/>
    <w:rsid w:val="000B3BC7"/>
    <w:rsid w:val="000B495E"/>
    <w:rsid w:val="000E1E28"/>
    <w:rsid w:val="000E2728"/>
    <w:rsid w:val="00101BA1"/>
    <w:rsid w:val="00103A99"/>
    <w:rsid w:val="00103B26"/>
    <w:rsid w:val="00107655"/>
    <w:rsid w:val="00112BDB"/>
    <w:rsid w:val="00115B17"/>
    <w:rsid w:val="00120DB0"/>
    <w:rsid w:val="001514B8"/>
    <w:rsid w:val="00152DFE"/>
    <w:rsid w:val="00165DC2"/>
    <w:rsid w:val="00167D01"/>
    <w:rsid w:val="00174583"/>
    <w:rsid w:val="001828BA"/>
    <w:rsid w:val="00185EFC"/>
    <w:rsid w:val="0018643D"/>
    <w:rsid w:val="001904D6"/>
    <w:rsid w:val="001927C6"/>
    <w:rsid w:val="001A5C7E"/>
    <w:rsid w:val="001C0A64"/>
    <w:rsid w:val="001C6706"/>
    <w:rsid w:val="001C6AA2"/>
    <w:rsid w:val="001E344C"/>
    <w:rsid w:val="001F4401"/>
    <w:rsid w:val="001F6D97"/>
    <w:rsid w:val="002043C2"/>
    <w:rsid w:val="00234EDC"/>
    <w:rsid w:val="002516E8"/>
    <w:rsid w:val="002551C9"/>
    <w:rsid w:val="002619E7"/>
    <w:rsid w:val="00277B86"/>
    <w:rsid w:val="00285765"/>
    <w:rsid w:val="00295042"/>
    <w:rsid w:val="0029602F"/>
    <w:rsid w:val="002A0B4D"/>
    <w:rsid w:val="002A2530"/>
    <w:rsid w:val="002D1687"/>
    <w:rsid w:val="002E4830"/>
    <w:rsid w:val="00305CF4"/>
    <w:rsid w:val="00312B89"/>
    <w:rsid w:val="00321E11"/>
    <w:rsid w:val="0032723A"/>
    <w:rsid w:val="00327373"/>
    <w:rsid w:val="00337204"/>
    <w:rsid w:val="00347627"/>
    <w:rsid w:val="00375452"/>
    <w:rsid w:val="00386C93"/>
    <w:rsid w:val="003A075C"/>
    <w:rsid w:val="003B4411"/>
    <w:rsid w:val="003C3E2C"/>
    <w:rsid w:val="003D6BF9"/>
    <w:rsid w:val="003E5148"/>
    <w:rsid w:val="00410CA3"/>
    <w:rsid w:val="0041344F"/>
    <w:rsid w:val="004268CC"/>
    <w:rsid w:val="004373B5"/>
    <w:rsid w:val="00442CAF"/>
    <w:rsid w:val="00444C0B"/>
    <w:rsid w:val="00446A3D"/>
    <w:rsid w:val="00453F38"/>
    <w:rsid w:val="00461765"/>
    <w:rsid w:val="00477F2E"/>
    <w:rsid w:val="004807F2"/>
    <w:rsid w:val="004826AB"/>
    <w:rsid w:val="00493900"/>
    <w:rsid w:val="004A477C"/>
    <w:rsid w:val="004A51CB"/>
    <w:rsid w:val="004A533D"/>
    <w:rsid w:val="004B2DA1"/>
    <w:rsid w:val="004B360B"/>
    <w:rsid w:val="004C1363"/>
    <w:rsid w:val="004C5BD3"/>
    <w:rsid w:val="004E1378"/>
    <w:rsid w:val="004F4899"/>
    <w:rsid w:val="00507E97"/>
    <w:rsid w:val="005105FF"/>
    <w:rsid w:val="00516CD1"/>
    <w:rsid w:val="005229DB"/>
    <w:rsid w:val="005439E3"/>
    <w:rsid w:val="00547DB7"/>
    <w:rsid w:val="00547DF4"/>
    <w:rsid w:val="00557A58"/>
    <w:rsid w:val="00571983"/>
    <w:rsid w:val="00572A8E"/>
    <w:rsid w:val="00587A1B"/>
    <w:rsid w:val="00592EC3"/>
    <w:rsid w:val="005B1AD5"/>
    <w:rsid w:val="005B39B8"/>
    <w:rsid w:val="005B7B42"/>
    <w:rsid w:val="005C3FB4"/>
    <w:rsid w:val="005C4B3D"/>
    <w:rsid w:val="005F0271"/>
    <w:rsid w:val="005F3973"/>
    <w:rsid w:val="006047DA"/>
    <w:rsid w:val="0061572D"/>
    <w:rsid w:val="00615ABA"/>
    <w:rsid w:val="00623607"/>
    <w:rsid w:val="00630729"/>
    <w:rsid w:val="00643990"/>
    <w:rsid w:val="006472DD"/>
    <w:rsid w:val="00663D99"/>
    <w:rsid w:val="00676839"/>
    <w:rsid w:val="00680155"/>
    <w:rsid w:val="006820A0"/>
    <w:rsid w:val="00687E06"/>
    <w:rsid w:val="00691322"/>
    <w:rsid w:val="0069391C"/>
    <w:rsid w:val="00696A1B"/>
    <w:rsid w:val="006977D2"/>
    <w:rsid w:val="00697C47"/>
    <w:rsid w:val="006B1BB9"/>
    <w:rsid w:val="006B2D3D"/>
    <w:rsid w:val="006B3A55"/>
    <w:rsid w:val="006B7890"/>
    <w:rsid w:val="006C4F00"/>
    <w:rsid w:val="006D2FE1"/>
    <w:rsid w:val="006E2298"/>
    <w:rsid w:val="006E45A3"/>
    <w:rsid w:val="006F104A"/>
    <w:rsid w:val="006F1B95"/>
    <w:rsid w:val="006F5822"/>
    <w:rsid w:val="007033DB"/>
    <w:rsid w:val="00704558"/>
    <w:rsid w:val="00730BF6"/>
    <w:rsid w:val="00741350"/>
    <w:rsid w:val="00744E70"/>
    <w:rsid w:val="00765131"/>
    <w:rsid w:val="0079263D"/>
    <w:rsid w:val="00793DDC"/>
    <w:rsid w:val="00796DCF"/>
    <w:rsid w:val="007B0F7E"/>
    <w:rsid w:val="007C1CDE"/>
    <w:rsid w:val="007C783A"/>
    <w:rsid w:val="007D5D7C"/>
    <w:rsid w:val="007F039F"/>
    <w:rsid w:val="007F24D7"/>
    <w:rsid w:val="007F3D0F"/>
    <w:rsid w:val="00815B60"/>
    <w:rsid w:val="0081640E"/>
    <w:rsid w:val="008200A6"/>
    <w:rsid w:val="00832C89"/>
    <w:rsid w:val="00833DED"/>
    <w:rsid w:val="0084066A"/>
    <w:rsid w:val="00850CAF"/>
    <w:rsid w:val="008546F3"/>
    <w:rsid w:val="0085674B"/>
    <w:rsid w:val="00861CC2"/>
    <w:rsid w:val="008642C0"/>
    <w:rsid w:val="008728CD"/>
    <w:rsid w:val="00886056"/>
    <w:rsid w:val="0088687F"/>
    <w:rsid w:val="00886BAE"/>
    <w:rsid w:val="0089350F"/>
    <w:rsid w:val="008A5CBA"/>
    <w:rsid w:val="008B57D3"/>
    <w:rsid w:val="008C33AC"/>
    <w:rsid w:val="008C7767"/>
    <w:rsid w:val="008D2FFE"/>
    <w:rsid w:val="008D582E"/>
    <w:rsid w:val="008E7F84"/>
    <w:rsid w:val="008F4293"/>
    <w:rsid w:val="00904CF5"/>
    <w:rsid w:val="009174A9"/>
    <w:rsid w:val="00921511"/>
    <w:rsid w:val="00923F46"/>
    <w:rsid w:val="00925795"/>
    <w:rsid w:val="0094176D"/>
    <w:rsid w:val="00941FD9"/>
    <w:rsid w:val="00960730"/>
    <w:rsid w:val="00963E90"/>
    <w:rsid w:val="009659BE"/>
    <w:rsid w:val="009701ED"/>
    <w:rsid w:val="009766E2"/>
    <w:rsid w:val="00977680"/>
    <w:rsid w:val="00981E6E"/>
    <w:rsid w:val="00997122"/>
    <w:rsid w:val="009A6799"/>
    <w:rsid w:val="009B75A6"/>
    <w:rsid w:val="009B79F3"/>
    <w:rsid w:val="009C228E"/>
    <w:rsid w:val="00A0300C"/>
    <w:rsid w:val="00A064B0"/>
    <w:rsid w:val="00A11B8E"/>
    <w:rsid w:val="00A13AE5"/>
    <w:rsid w:val="00A163EE"/>
    <w:rsid w:val="00A24F0C"/>
    <w:rsid w:val="00A25818"/>
    <w:rsid w:val="00A3281D"/>
    <w:rsid w:val="00A33AE5"/>
    <w:rsid w:val="00A34F21"/>
    <w:rsid w:val="00A41A35"/>
    <w:rsid w:val="00A41AC8"/>
    <w:rsid w:val="00A473FA"/>
    <w:rsid w:val="00A47E84"/>
    <w:rsid w:val="00A53FF0"/>
    <w:rsid w:val="00A6288E"/>
    <w:rsid w:val="00A74D07"/>
    <w:rsid w:val="00A776DB"/>
    <w:rsid w:val="00A816AD"/>
    <w:rsid w:val="00A846E2"/>
    <w:rsid w:val="00A931DF"/>
    <w:rsid w:val="00A9539D"/>
    <w:rsid w:val="00AB63E8"/>
    <w:rsid w:val="00AC3FC9"/>
    <w:rsid w:val="00AD15ED"/>
    <w:rsid w:val="00AD51CF"/>
    <w:rsid w:val="00AD7D53"/>
    <w:rsid w:val="00AE4397"/>
    <w:rsid w:val="00B04401"/>
    <w:rsid w:val="00B04C95"/>
    <w:rsid w:val="00B32F05"/>
    <w:rsid w:val="00B47420"/>
    <w:rsid w:val="00B57DFA"/>
    <w:rsid w:val="00B61280"/>
    <w:rsid w:val="00B617ED"/>
    <w:rsid w:val="00B6534A"/>
    <w:rsid w:val="00B676F4"/>
    <w:rsid w:val="00B93B22"/>
    <w:rsid w:val="00BA01D8"/>
    <w:rsid w:val="00BB0A1C"/>
    <w:rsid w:val="00BB1C9C"/>
    <w:rsid w:val="00BC544C"/>
    <w:rsid w:val="00BD575A"/>
    <w:rsid w:val="00BD7D2C"/>
    <w:rsid w:val="00BE686F"/>
    <w:rsid w:val="00BF122C"/>
    <w:rsid w:val="00C015BB"/>
    <w:rsid w:val="00C03C6C"/>
    <w:rsid w:val="00C268D9"/>
    <w:rsid w:val="00C32A47"/>
    <w:rsid w:val="00C420B2"/>
    <w:rsid w:val="00C445D0"/>
    <w:rsid w:val="00C46CB2"/>
    <w:rsid w:val="00C54007"/>
    <w:rsid w:val="00C655C1"/>
    <w:rsid w:val="00C65A39"/>
    <w:rsid w:val="00C75089"/>
    <w:rsid w:val="00C7631D"/>
    <w:rsid w:val="00CB1C36"/>
    <w:rsid w:val="00CB62AF"/>
    <w:rsid w:val="00CC54A5"/>
    <w:rsid w:val="00CD2FF0"/>
    <w:rsid w:val="00CE2478"/>
    <w:rsid w:val="00CE3725"/>
    <w:rsid w:val="00CF049A"/>
    <w:rsid w:val="00CF7B3D"/>
    <w:rsid w:val="00D01A0B"/>
    <w:rsid w:val="00D13720"/>
    <w:rsid w:val="00D40E0D"/>
    <w:rsid w:val="00D42806"/>
    <w:rsid w:val="00D43174"/>
    <w:rsid w:val="00D44B26"/>
    <w:rsid w:val="00D46FD7"/>
    <w:rsid w:val="00D53CBE"/>
    <w:rsid w:val="00D65E2A"/>
    <w:rsid w:val="00D67FE4"/>
    <w:rsid w:val="00D735EF"/>
    <w:rsid w:val="00D74DE3"/>
    <w:rsid w:val="00D76FD4"/>
    <w:rsid w:val="00D9092E"/>
    <w:rsid w:val="00D92A28"/>
    <w:rsid w:val="00DA11AB"/>
    <w:rsid w:val="00DA4049"/>
    <w:rsid w:val="00DA4A97"/>
    <w:rsid w:val="00DA4CD7"/>
    <w:rsid w:val="00DB4F68"/>
    <w:rsid w:val="00DC4489"/>
    <w:rsid w:val="00DC4FD7"/>
    <w:rsid w:val="00DD4668"/>
    <w:rsid w:val="00DE15E2"/>
    <w:rsid w:val="00DE3842"/>
    <w:rsid w:val="00DE5B4A"/>
    <w:rsid w:val="00DE5CAC"/>
    <w:rsid w:val="00DF0FFE"/>
    <w:rsid w:val="00DF19B1"/>
    <w:rsid w:val="00E03131"/>
    <w:rsid w:val="00E336C7"/>
    <w:rsid w:val="00E35498"/>
    <w:rsid w:val="00E421D6"/>
    <w:rsid w:val="00E433EE"/>
    <w:rsid w:val="00E5209F"/>
    <w:rsid w:val="00E547BE"/>
    <w:rsid w:val="00E54A5D"/>
    <w:rsid w:val="00E60042"/>
    <w:rsid w:val="00E711A7"/>
    <w:rsid w:val="00E75A54"/>
    <w:rsid w:val="00E833F2"/>
    <w:rsid w:val="00E848E7"/>
    <w:rsid w:val="00E95118"/>
    <w:rsid w:val="00E975C2"/>
    <w:rsid w:val="00EC26B0"/>
    <w:rsid w:val="00EC57E6"/>
    <w:rsid w:val="00ED77D9"/>
    <w:rsid w:val="00EE4C8E"/>
    <w:rsid w:val="00F00030"/>
    <w:rsid w:val="00F062A4"/>
    <w:rsid w:val="00F20B61"/>
    <w:rsid w:val="00F2100E"/>
    <w:rsid w:val="00F300DF"/>
    <w:rsid w:val="00F42ED4"/>
    <w:rsid w:val="00F45DEA"/>
    <w:rsid w:val="00F7366A"/>
    <w:rsid w:val="00F75E09"/>
    <w:rsid w:val="00F76BE0"/>
    <w:rsid w:val="00F814A8"/>
    <w:rsid w:val="00F81C2A"/>
    <w:rsid w:val="00F8696D"/>
    <w:rsid w:val="00F94A54"/>
    <w:rsid w:val="00FA38F4"/>
    <w:rsid w:val="00FA6FE4"/>
    <w:rsid w:val="00FB0C3F"/>
    <w:rsid w:val="00FC39BE"/>
    <w:rsid w:val="00FD7286"/>
    <w:rsid w:val="00FD79E4"/>
    <w:rsid w:val="00FE0B88"/>
    <w:rsid w:val="00FE14C7"/>
    <w:rsid w:val="00FE1620"/>
    <w:rsid w:val="00FE2E42"/>
    <w:rsid w:val="00FE64C7"/>
    <w:rsid w:val="00FE7E30"/>
    <w:rsid w:val="00FF3709"/>
    <w:rsid w:val="22C3E441"/>
    <w:rsid w:val="22F933F0"/>
    <w:rsid w:val="2ED2C33D"/>
    <w:rsid w:val="52E06233"/>
    <w:rsid w:val="70B99430"/>
    <w:rsid w:val="7A474E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4D788"/>
  <w15:chartTrackingRefBased/>
  <w15:docId w15:val="{0B2EA672-A6A9-4D2E-A0E3-59D7188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6C7"/>
    <w:pPr>
      <w:snapToGrid w:val="0"/>
      <w:spacing w:after="120" w:line="240" w:lineRule="auto"/>
    </w:pPr>
    <w:rPr>
      <w:rFonts w:ascii="Arial" w:hAnsi="Arial"/>
    </w:rPr>
  </w:style>
  <w:style w:type="paragraph" w:styleId="Heading1">
    <w:name w:val="heading 1"/>
    <w:basedOn w:val="Normal"/>
    <w:next w:val="Normal"/>
    <w:link w:val="Heading1Char"/>
    <w:qFormat/>
    <w:rsid w:val="00E336C7"/>
    <w:pPr>
      <w:keepNext/>
      <w:spacing w:before="120" w:after="60"/>
      <w:outlineLvl w:val="0"/>
    </w:pPr>
    <w:rPr>
      <w:rFonts w:eastAsia="Times New Roman" w:cs="Arial"/>
      <w:b/>
      <w:bCs/>
      <w:color w:val="3F4A75"/>
      <w:kern w:val="28"/>
      <w:sz w:val="36"/>
      <w:szCs w:val="36"/>
    </w:rPr>
  </w:style>
  <w:style w:type="paragraph" w:styleId="Heading2">
    <w:name w:val="heading 2"/>
    <w:basedOn w:val="Normal"/>
    <w:next w:val="Normal"/>
    <w:link w:val="Heading2Char"/>
    <w:unhideWhenUsed/>
    <w:qFormat/>
    <w:rsid w:val="00E336C7"/>
    <w:pPr>
      <w:keepNext/>
      <w:snapToGrid/>
      <w:spacing w:before="120" w:after="60"/>
      <w:outlineLvl w:val="1"/>
    </w:pPr>
    <w:rPr>
      <w:rFonts w:eastAsia="Times New Roman" w:cs="Arial"/>
      <w:bCs/>
      <w:iCs/>
      <w:color w:val="358189"/>
      <w:sz w:val="32"/>
      <w:szCs w:val="28"/>
    </w:rPr>
  </w:style>
  <w:style w:type="paragraph" w:styleId="Heading3">
    <w:name w:val="heading 3"/>
    <w:basedOn w:val="Normal"/>
    <w:next w:val="Normal"/>
    <w:link w:val="Heading3Char"/>
    <w:uiPriority w:val="9"/>
    <w:semiHidden/>
    <w:unhideWhenUsed/>
    <w:qFormat/>
    <w:rsid w:val="00097A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73F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3FA"/>
    <w:rPr>
      <w:rFonts w:ascii="Segoe UI" w:hAnsi="Segoe UI" w:cs="Segoe UI"/>
      <w:sz w:val="18"/>
      <w:szCs w:val="18"/>
    </w:rPr>
  </w:style>
  <w:style w:type="paragraph" w:styleId="ListParagraph">
    <w:name w:val="List Paragraph"/>
    <w:basedOn w:val="Normal"/>
    <w:uiPriority w:val="34"/>
    <w:qFormat/>
    <w:rsid w:val="009B79F3"/>
    <w:pPr>
      <w:ind w:left="720"/>
      <w:contextualSpacing/>
    </w:pPr>
  </w:style>
  <w:style w:type="paragraph" w:styleId="Header">
    <w:name w:val="header"/>
    <w:basedOn w:val="Normal"/>
    <w:link w:val="HeaderChar"/>
    <w:uiPriority w:val="99"/>
    <w:unhideWhenUsed/>
    <w:rsid w:val="00A41AC8"/>
    <w:pPr>
      <w:tabs>
        <w:tab w:val="center" w:pos="4513"/>
        <w:tab w:val="right" w:pos="9026"/>
      </w:tabs>
      <w:spacing w:after="0"/>
    </w:pPr>
  </w:style>
  <w:style w:type="character" w:customStyle="1" w:styleId="HeaderChar">
    <w:name w:val="Header Char"/>
    <w:basedOn w:val="DefaultParagraphFont"/>
    <w:link w:val="Header"/>
    <w:uiPriority w:val="99"/>
    <w:rsid w:val="00A41AC8"/>
  </w:style>
  <w:style w:type="paragraph" w:styleId="Footer">
    <w:name w:val="footer"/>
    <w:basedOn w:val="Normal"/>
    <w:link w:val="FooterChar"/>
    <w:uiPriority w:val="99"/>
    <w:unhideWhenUsed/>
    <w:rsid w:val="00BD575A"/>
    <w:pPr>
      <w:tabs>
        <w:tab w:val="center" w:pos="4513"/>
        <w:tab w:val="right" w:pos="9026"/>
      </w:tabs>
      <w:spacing w:after="0"/>
      <w:jc w:val="both"/>
    </w:pPr>
  </w:style>
  <w:style w:type="character" w:customStyle="1" w:styleId="FooterChar">
    <w:name w:val="Footer Char"/>
    <w:basedOn w:val="DefaultParagraphFont"/>
    <w:link w:val="Footer"/>
    <w:uiPriority w:val="99"/>
    <w:rsid w:val="00BD575A"/>
  </w:style>
  <w:style w:type="character" w:customStyle="1" w:styleId="Heading1Char">
    <w:name w:val="Heading 1 Char"/>
    <w:basedOn w:val="DefaultParagraphFont"/>
    <w:link w:val="Heading1"/>
    <w:rsid w:val="00E336C7"/>
    <w:rPr>
      <w:rFonts w:ascii="Arial" w:eastAsia="Times New Roman" w:hAnsi="Arial" w:cs="Arial"/>
      <w:b/>
      <w:bCs/>
      <w:color w:val="3F4A75"/>
      <w:kern w:val="28"/>
      <w:sz w:val="36"/>
      <w:szCs w:val="36"/>
    </w:rPr>
  </w:style>
  <w:style w:type="character" w:styleId="Hyperlink">
    <w:name w:val="Hyperlink"/>
    <w:basedOn w:val="DefaultParagraphFont"/>
    <w:uiPriority w:val="99"/>
    <w:unhideWhenUsed/>
    <w:rsid w:val="0079263D"/>
    <w:rPr>
      <w:color w:val="0000FF" w:themeColor="hyperlink"/>
      <w:u w:val="single"/>
    </w:rPr>
  </w:style>
  <w:style w:type="character" w:styleId="UnresolvedMention">
    <w:name w:val="Unresolved Mention"/>
    <w:basedOn w:val="DefaultParagraphFont"/>
    <w:uiPriority w:val="99"/>
    <w:semiHidden/>
    <w:unhideWhenUsed/>
    <w:rsid w:val="0079263D"/>
    <w:rPr>
      <w:color w:val="605E5C"/>
      <w:shd w:val="clear" w:color="auto" w:fill="E1DFDD"/>
    </w:rPr>
  </w:style>
  <w:style w:type="character" w:styleId="CommentReference">
    <w:name w:val="annotation reference"/>
    <w:basedOn w:val="DefaultParagraphFont"/>
    <w:uiPriority w:val="99"/>
    <w:semiHidden/>
    <w:unhideWhenUsed/>
    <w:rsid w:val="005105FF"/>
    <w:rPr>
      <w:sz w:val="16"/>
      <w:szCs w:val="16"/>
    </w:rPr>
  </w:style>
  <w:style w:type="paragraph" w:styleId="CommentText">
    <w:name w:val="annotation text"/>
    <w:basedOn w:val="Normal"/>
    <w:link w:val="CommentTextChar"/>
    <w:uiPriority w:val="99"/>
    <w:unhideWhenUsed/>
    <w:rsid w:val="005105FF"/>
    <w:rPr>
      <w:sz w:val="20"/>
      <w:szCs w:val="20"/>
    </w:rPr>
  </w:style>
  <w:style w:type="character" w:customStyle="1" w:styleId="CommentTextChar">
    <w:name w:val="Comment Text Char"/>
    <w:basedOn w:val="DefaultParagraphFont"/>
    <w:link w:val="CommentText"/>
    <w:uiPriority w:val="99"/>
    <w:rsid w:val="005105FF"/>
    <w:rPr>
      <w:sz w:val="20"/>
      <w:szCs w:val="20"/>
    </w:rPr>
  </w:style>
  <w:style w:type="paragraph" w:styleId="CommentSubject">
    <w:name w:val="annotation subject"/>
    <w:basedOn w:val="CommentText"/>
    <w:next w:val="CommentText"/>
    <w:link w:val="CommentSubjectChar"/>
    <w:uiPriority w:val="99"/>
    <w:semiHidden/>
    <w:unhideWhenUsed/>
    <w:rsid w:val="005105FF"/>
    <w:rPr>
      <w:b/>
      <w:bCs/>
    </w:rPr>
  </w:style>
  <w:style w:type="character" w:customStyle="1" w:styleId="CommentSubjectChar">
    <w:name w:val="Comment Subject Char"/>
    <w:basedOn w:val="CommentTextChar"/>
    <w:link w:val="CommentSubject"/>
    <w:uiPriority w:val="99"/>
    <w:semiHidden/>
    <w:rsid w:val="005105FF"/>
    <w:rPr>
      <w:b/>
      <w:bCs/>
      <w:sz w:val="20"/>
      <w:szCs w:val="20"/>
    </w:rPr>
  </w:style>
  <w:style w:type="paragraph" w:styleId="NormalWeb">
    <w:name w:val="Normal (Web)"/>
    <w:basedOn w:val="Normal"/>
    <w:uiPriority w:val="99"/>
    <w:semiHidden/>
    <w:unhideWhenUsed/>
    <w:rsid w:val="00B617ED"/>
    <w:pPr>
      <w:spacing w:before="100" w:beforeAutospacing="1" w:after="100" w:afterAutospacing="1"/>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FE1620"/>
    <w:rPr>
      <w:color w:val="800080" w:themeColor="followedHyperlink"/>
      <w:u w:val="single"/>
    </w:rPr>
  </w:style>
  <w:style w:type="character" w:styleId="Strong">
    <w:name w:val="Strong"/>
    <w:basedOn w:val="DefaultParagraphFont"/>
    <w:uiPriority w:val="22"/>
    <w:qFormat/>
    <w:rsid w:val="00FE0B88"/>
    <w:rPr>
      <w:b/>
      <w:bCs/>
    </w:rPr>
  </w:style>
  <w:style w:type="character" w:customStyle="1" w:styleId="Heading2Char">
    <w:name w:val="Heading 2 Char"/>
    <w:basedOn w:val="DefaultParagraphFont"/>
    <w:link w:val="Heading2"/>
    <w:rsid w:val="00E336C7"/>
    <w:rPr>
      <w:rFonts w:ascii="Arial" w:eastAsia="Times New Roman" w:hAnsi="Arial" w:cs="Arial"/>
      <w:bCs/>
      <w:iCs/>
      <w:color w:val="358189"/>
      <w:sz w:val="32"/>
      <w:szCs w:val="28"/>
    </w:rPr>
  </w:style>
  <w:style w:type="paragraph" w:customStyle="1" w:styleId="H2">
    <w:name w:val="H2"/>
    <w:basedOn w:val="Heading3"/>
    <w:uiPriority w:val="99"/>
    <w:rsid w:val="007033DB"/>
    <w:pPr>
      <w:keepNext w:val="0"/>
      <w:keepLines w:val="0"/>
      <w:numPr>
        <w:numId w:val="12"/>
      </w:numPr>
      <w:suppressAutoHyphens/>
      <w:autoSpaceDE w:val="0"/>
      <w:autoSpaceDN w:val="0"/>
      <w:adjustRightInd w:val="0"/>
      <w:snapToGrid/>
      <w:spacing w:before="283" w:after="113" w:line="340" w:lineRule="atLeast"/>
      <w:ind w:left="357" w:hanging="357"/>
      <w:textAlignment w:val="center"/>
      <w:outlineLvl w:val="9"/>
    </w:pPr>
    <w:rPr>
      <w:rFonts w:ascii="HelveticaNeueLT Std" w:eastAsiaTheme="minorHAnsi" w:hAnsi="HelveticaNeueLT Std" w:cs="HelveticaNeueLT Std"/>
      <w:b/>
      <w:bCs/>
      <w:color w:val="00838F"/>
      <w:sz w:val="32"/>
      <w:szCs w:val="32"/>
      <w:lang w:val="en-GB"/>
    </w:rPr>
  </w:style>
  <w:style w:type="paragraph" w:customStyle="1" w:styleId="BodyCopy">
    <w:name w:val="Body Copy"/>
    <w:basedOn w:val="Normal"/>
    <w:uiPriority w:val="99"/>
    <w:rsid w:val="00097AC0"/>
    <w:pPr>
      <w:suppressAutoHyphens/>
      <w:autoSpaceDE w:val="0"/>
      <w:autoSpaceDN w:val="0"/>
      <w:adjustRightInd w:val="0"/>
      <w:snapToGrid/>
      <w:spacing w:after="113" w:line="260" w:lineRule="atLeast"/>
      <w:textAlignment w:val="center"/>
    </w:pPr>
    <w:rPr>
      <w:rFonts w:ascii="Helvetica Neue" w:hAnsi="Helvetica Neue" w:cs="Helvetica Neue"/>
      <w:color w:val="000000"/>
      <w:sz w:val="20"/>
      <w:szCs w:val="20"/>
      <w:lang w:val="en-GB"/>
    </w:rPr>
  </w:style>
  <w:style w:type="paragraph" w:customStyle="1" w:styleId="bullets">
    <w:name w:val="bullets"/>
    <w:basedOn w:val="BodyCopy"/>
    <w:uiPriority w:val="99"/>
    <w:rsid w:val="00097AC0"/>
    <w:pPr>
      <w:spacing w:after="85"/>
      <w:ind w:left="227" w:hanging="227"/>
    </w:pPr>
  </w:style>
  <w:style w:type="paragraph" w:customStyle="1" w:styleId="H3">
    <w:name w:val="H3"/>
    <w:basedOn w:val="Heading3"/>
    <w:uiPriority w:val="99"/>
    <w:rsid w:val="00097AC0"/>
    <w:pPr>
      <w:keepNext w:val="0"/>
      <w:keepLines w:val="0"/>
      <w:suppressAutoHyphens/>
      <w:autoSpaceDE w:val="0"/>
      <w:autoSpaceDN w:val="0"/>
      <w:adjustRightInd w:val="0"/>
      <w:snapToGrid/>
      <w:spacing w:before="113" w:line="240" w:lineRule="atLeast"/>
      <w:textAlignment w:val="center"/>
      <w:outlineLvl w:val="9"/>
    </w:pPr>
    <w:rPr>
      <w:rFonts w:ascii="HelveticaNeueLT Std" w:eastAsiaTheme="minorHAnsi" w:hAnsi="HelveticaNeueLT Std" w:cs="HelveticaNeueLT Std"/>
      <w:b/>
      <w:bCs/>
      <w:caps/>
      <w:color w:val="00838F"/>
      <w:sz w:val="20"/>
      <w:szCs w:val="20"/>
      <w:lang w:val="en-GB"/>
    </w:rPr>
  </w:style>
  <w:style w:type="paragraph" w:customStyle="1" w:styleId="INDENTEDTEXT">
    <w:name w:val="INDENTED TEXT"/>
    <w:basedOn w:val="BodyCopy"/>
    <w:uiPriority w:val="99"/>
    <w:rsid w:val="00097AC0"/>
    <w:pPr>
      <w:ind w:left="1417"/>
    </w:pPr>
  </w:style>
  <w:style w:type="paragraph" w:customStyle="1" w:styleId="BoxText">
    <w:name w:val="Box Text"/>
    <w:basedOn w:val="BodyCopy"/>
    <w:uiPriority w:val="99"/>
    <w:rsid w:val="00097AC0"/>
    <w:pPr>
      <w:shd w:val="clear" w:color="auto" w:fill="00838F"/>
      <w:spacing w:before="340" w:after="454"/>
      <w:ind w:left="113" w:right="113"/>
      <w:jc w:val="center"/>
    </w:pPr>
    <w:rPr>
      <w:w w:val="96"/>
    </w:rPr>
  </w:style>
  <w:style w:type="character" w:styleId="FootnoteReference">
    <w:name w:val="footnote reference"/>
    <w:basedOn w:val="DefaultParagraphFont"/>
    <w:uiPriority w:val="99"/>
    <w:rsid w:val="00097AC0"/>
    <w:rPr>
      <w:rFonts w:ascii="Helvetica Neue" w:hAnsi="Helvetica Neue" w:cs="Helvetica Neue"/>
      <w:w w:val="100"/>
      <w:vertAlign w:val="superscript"/>
    </w:rPr>
  </w:style>
  <w:style w:type="character" w:customStyle="1" w:styleId="Heading3Char">
    <w:name w:val="Heading 3 Char"/>
    <w:basedOn w:val="DefaultParagraphFont"/>
    <w:link w:val="Heading3"/>
    <w:uiPriority w:val="9"/>
    <w:semiHidden/>
    <w:rsid w:val="00097AC0"/>
    <w:rPr>
      <w:rFonts w:asciiTheme="majorHAnsi" w:eastAsiaTheme="majorEastAsia" w:hAnsiTheme="majorHAnsi" w:cstheme="majorBidi"/>
      <w:color w:val="243F60" w:themeColor="accent1" w:themeShade="7F"/>
      <w:sz w:val="24"/>
      <w:szCs w:val="24"/>
    </w:rPr>
  </w:style>
  <w:style w:type="paragraph" w:customStyle="1" w:styleId="Flowchartheading">
    <w:name w:val="Flow chart heading"/>
    <w:basedOn w:val="H2"/>
    <w:uiPriority w:val="99"/>
    <w:rsid w:val="00E35498"/>
    <w:pPr>
      <w:spacing w:before="120" w:after="60" w:line="288" w:lineRule="auto"/>
    </w:pPr>
    <w:rPr>
      <w:sz w:val="24"/>
      <w:szCs w:val="18"/>
    </w:rPr>
  </w:style>
  <w:style w:type="paragraph" w:customStyle="1" w:styleId="FlowChart">
    <w:name w:val="Flow Chart"/>
    <w:basedOn w:val="BodyCopy"/>
    <w:uiPriority w:val="99"/>
    <w:rsid w:val="00097AC0"/>
    <w:pPr>
      <w:spacing w:before="28" w:after="57" w:line="180" w:lineRule="atLeast"/>
      <w:ind w:left="57" w:right="57"/>
    </w:pPr>
    <w:rPr>
      <w:rFonts w:ascii="HelveticaNeueLT Std" w:hAnsi="HelveticaNeueLT Std" w:cs="HelveticaNeueLT Std"/>
      <w:sz w:val="16"/>
      <w:szCs w:val="16"/>
    </w:rPr>
  </w:style>
  <w:style w:type="paragraph" w:styleId="Subtitle">
    <w:name w:val="Subtitle"/>
    <w:basedOn w:val="Normal"/>
    <w:next w:val="Normal"/>
    <w:link w:val="SubtitleChar"/>
    <w:qFormat/>
    <w:rsid w:val="00097AC0"/>
    <w:pPr>
      <w:numPr>
        <w:ilvl w:val="1"/>
      </w:numPr>
      <w:spacing w:after="160"/>
    </w:pPr>
    <w:rPr>
      <w:rFonts w:eastAsiaTheme="minorEastAsia" w:cs="Times New Roman (Body CS)"/>
      <w:b/>
      <w:color w:val="5A5A5A" w:themeColor="text1" w:themeTint="A5"/>
      <w:sz w:val="28"/>
    </w:rPr>
  </w:style>
  <w:style w:type="character" w:customStyle="1" w:styleId="SubtitleChar">
    <w:name w:val="Subtitle Char"/>
    <w:basedOn w:val="DefaultParagraphFont"/>
    <w:link w:val="Subtitle"/>
    <w:rsid w:val="00097AC0"/>
    <w:rPr>
      <w:rFonts w:eastAsiaTheme="minorEastAsia" w:cs="Times New Roman (Body CS)"/>
      <w:b/>
      <w:color w:val="5A5A5A" w:themeColor="text1" w:themeTint="A5"/>
      <w:sz w:val="28"/>
    </w:rPr>
  </w:style>
  <w:style w:type="paragraph" w:customStyle="1" w:styleId="decision-text">
    <w:name w:val="decision-text"/>
    <w:basedOn w:val="Normal"/>
    <w:autoRedefine/>
    <w:qFormat/>
    <w:rsid w:val="00E35498"/>
    <w:pPr>
      <w:spacing w:after="0"/>
      <w:ind w:left="709"/>
      <w:contextualSpacing/>
    </w:pPr>
    <w:rPr>
      <w:bCs/>
    </w:rPr>
  </w:style>
  <w:style w:type="paragraph" w:customStyle="1" w:styleId="NumberedlistReferences">
    <w:name w:val="Numbered list (References)"/>
    <w:basedOn w:val="BodyCopy"/>
    <w:uiPriority w:val="99"/>
    <w:rsid w:val="00DA4049"/>
    <w:pPr>
      <w:tabs>
        <w:tab w:val="left" w:pos="340"/>
      </w:tabs>
      <w:spacing w:line="240" w:lineRule="atLeast"/>
    </w:pPr>
    <w:rPr>
      <w:sz w:val="18"/>
      <w:szCs w:val="18"/>
    </w:rPr>
  </w:style>
  <w:style w:type="paragraph" w:styleId="Title">
    <w:name w:val="Title"/>
    <w:basedOn w:val="Normal"/>
    <w:next w:val="Normal"/>
    <w:link w:val="TitleChar"/>
    <w:qFormat/>
    <w:rsid w:val="007C783A"/>
    <w:pPr>
      <w:snapToGrid/>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7C783A"/>
    <w:rPr>
      <w:rFonts w:ascii="Arial" w:eastAsiaTheme="majorEastAsia" w:hAnsi="Arial" w:cstheme="majorBidi"/>
      <w:color w:val="3F4A75"/>
      <w:kern w:val="28"/>
      <w:sz w:val="48"/>
      <w:szCs w:val="52"/>
    </w:rPr>
  </w:style>
  <w:style w:type="paragraph" w:customStyle="1" w:styleId="Boxtype">
    <w:name w:val="Box type"/>
    <w:next w:val="Normal"/>
    <w:qFormat/>
    <w:rsid w:val="00516CD1"/>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sz w:val="21"/>
      <w:szCs w:val="24"/>
      <w:lang w:val="en"/>
    </w:rPr>
  </w:style>
  <w:style w:type="paragraph" w:styleId="Revision">
    <w:name w:val="Revision"/>
    <w:hidden/>
    <w:uiPriority w:val="99"/>
    <w:semiHidden/>
    <w:rsid w:val="00833DE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4219">
      <w:bodyDiv w:val="1"/>
      <w:marLeft w:val="0"/>
      <w:marRight w:val="0"/>
      <w:marTop w:val="0"/>
      <w:marBottom w:val="0"/>
      <w:divBdr>
        <w:top w:val="none" w:sz="0" w:space="0" w:color="auto"/>
        <w:left w:val="none" w:sz="0" w:space="0" w:color="auto"/>
        <w:bottom w:val="none" w:sz="0" w:space="0" w:color="auto"/>
        <w:right w:val="none" w:sz="0" w:space="0" w:color="auto"/>
      </w:divBdr>
    </w:div>
    <w:div w:id="152331020">
      <w:bodyDiv w:val="1"/>
      <w:marLeft w:val="0"/>
      <w:marRight w:val="0"/>
      <w:marTop w:val="0"/>
      <w:marBottom w:val="0"/>
      <w:divBdr>
        <w:top w:val="none" w:sz="0" w:space="0" w:color="auto"/>
        <w:left w:val="none" w:sz="0" w:space="0" w:color="auto"/>
        <w:bottom w:val="none" w:sz="0" w:space="0" w:color="auto"/>
        <w:right w:val="none" w:sz="0" w:space="0" w:color="auto"/>
      </w:divBdr>
    </w:div>
    <w:div w:id="518741204">
      <w:bodyDiv w:val="1"/>
      <w:marLeft w:val="0"/>
      <w:marRight w:val="0"/>
      <w:marTop w:val="0"/>
      <w:marBottom w:val="0"/>
      <w:divBdr>
        <w:top w:val="none" w:sz="0" w:space="0" w:color="auto"/>
        <w:left w:val="none" w:sz="0" w:space="0" w:color="auto"/>
        <w:bottom w:val="none" w:sz="0" w:space="0" w:color="auto"/>
        <w:right w:val="none" w:sz="0" w:space="0" w:color="auto"/>
      </w:divBdr>
    </w:div>
    <w:div w:id="770199212">
      <w:bodyDiv w:val="1"/>
      <w:marLeft w:val="0"/>
      <w:marRight w:val="0"/>
      <w:marTop w:val="0"/>
      <w:marBottom w:val="0"/>
      <w:divBdr>
        <w:top w:val="none" w:sz="0" w:space="0" w:color="auto"/>
        <w:left w:val="none" w:sz="0" w:space="0" w:color="auto"/>
        <w:bottom w:val="none" w:sz="0" w:space="0" w:color="auto"/>
        <w:right w:val="none" w:sz="0" w:space="0" w:color="auto"/>
      </w:divBdr>
    </w:div>
    <w:div w:id="1068501226">
      <w:bodyDiv w:val="1"/>
      <w:marLeft w:val="0"/>
      <w:marRight w:val="0"/>
      <w:marTop w:val="0"/>
      <w:marBottom w:val="0"/>
      <w:divBdr>
        <w:top w:val="none" w:sz="0" w:space="0" w:color="auto"/>
        <w:left w:val="none" w:sz="0" w:space="0" w:color="auto"/>
        <w:bottom w:val="none" w:sz="0" w:space="0" w:color="auto"/>
        <w:right w:val="none" w:sz="0" w:space="0" w:color="auto"/>
      </w:divBdr>
    </w:div>
    <w:div w:id="1118255064">
      <w:bodyDiv w:val="1"/>
      <w:marLeft w:val="0"/>
      <w:marRight w:val="0"/>
      <w:marTop w:val="0"/>
      <w:marBottom w:val="0"/>
      <w:divBdr>
        <w:top w:val="none" w:sz="0" w:space="0" w:color="auto"/>
        <w:left w:val="none" w:sz="0" w:space="0" w:color="auto"/>
        <w:bottom w:val="none" w:sz="0" w:space="0" w:color="auto"/>
        <w:right w:val="none" w:sz="0" w:space="0" w:color="auto"/>
      </w:divBdr>
    </w:div>
    <w:div w:id="1315912346">
      <w:bodyDiv w:val="1"/>
      <w:marLeft w:val="0"/>
      <w:marRight w:val="0"/>
      <w:marTop w:val="0"/>
      <w:marBottom w:val="0"/>
      <w:divBdr>
        <w:top w:val="none" w:sz="0" w:space="0" w:color="auto"/>
        <w:left w:val="none" w:sz="0" w:space="0" w:color="auto"/>
        <w:bottom w:val="none" w:sz="0" w:space="0" w:color="auto"/>
        <w:right w:val="none" w:sz="0" w:space="0" w:color="auto"/>
      </w:divBdr>
    </w:div>
    <w:div w:id="1351301201">
      <w:bodyDiv w:val="1"/>
      <w:marLeft w:val="0"/>
      <w:marRight w:val="0"/>
      <w:marTop w:val="0"/>
      <w:marBottom w:val="0"/>
      <w:divBdr>
        <w:top w:val="none" w:sz="0" w:space="0" w:color="auto"/>
        <w:left w:val="none" w:sz="0" w:space="0" w:color="auto"/>
        <w:bottom w:val="none" w:sz="0" w:space="0" w:color="auto"/>
        <w:right w:val="none" w:sz="0" w:space="0" w:color="auto"/>
      </w:divBdr>
    </w:div>
    <w:div w:id="1462311096">
      <w:bodyDiv w:val="1"/>
      <w:marLeft w:val="0"/>
      <w:marRight w:val="0"/>
      <w:marTop w:val="0"/>
      <w:marBottom w:val="0"/>
      <w:divBdr>
        <w:top w:val="none" w:sz="0" w:space="0" w:color="auto"/>
        <w:left w:val="none" w:sz="0" w:space="0" w:color="auto"/>
        <w:bottom w:val="none" w:sz="0" w:space="0" w:color="auto"/>
        <w:right w:val="none" w:sz="0" w:space="0" w:color="auto"/>
      </w:divBdr>
    </w:div>
    <w:div w:id="1600330464">
      <w:bodyDiv w:val="1"/>
      <w:marLeft w:val="0"/>
      <w:marRight w:val="0"/>
      <w:marTop w:val="0"/>
      <w:marBottom w:val="0"/>
      <w:divBdr>
        <w:top w:val="none" w:sz="0" w:space="0" w:color="auto"/>
        <w:left w:val="none" w:sz="0" w:space="0" w:color="auto"/>
        <w:bottom w:val="none" w:sz="0" w:space="0" w:color="auto"/>
        <w:right w:val="none" w:sz="0" w:space="0" w:color="auto"/>
      </w:divBdr>
    </w:div>
    <w:div w:id="1649938084">
      <w:bodyDiv w:val="1"/>
      <w:marLeft w:val="0"/>
      <w:marRight w:val="0"/>
      <w:marTop w:val="0"/>
      <w:marBottom w:val="0"/>
      <w:divBdr>
        <w:top w:val="none" w:sz="0" w:space="0" w:color="auto"/>
        <w:left w:val="none" w:sz="0" w:space="0" w:color="auto"/>
        <w:bottom w:val="none" w:sz="0" w:space="0" w:color="auto"/>
        <w:right w:val="none" w:sz="0" w:space="0" w:color="auto"/>
      </w:divBdr>
    </w:div>
    <w:div w:id="1654748967">
      <w:bodyDiv w:val="1"/>
      <w:marLeft w:val="0"/>
      <w:marRight w:val="0"/>
      <w:marTop w:val="0"/>
      <w:marBottom w:val="0"/>
      <w:divBdr>
        <w:top w:val="none" w:sz="0" w:space="0" w:color="auto"/>
        <w:left w:val="none" w:sz="0" w:space="0" w:color="auto"/>
        <w:bottom w:val="none" w:sz="0" w:space="0" w:color="auto"/>
        <w:right w:val="none" w:sz="0" w:space="0" w:color="auto"/>
      </w:divBdr>
    </w:div>
    <w:div w:id="1732576536">
      <w:bodyDiv w:val="1"/>
      <w:marLeft w:val="0"/>
      <w:marRight w:val="0"/>
      <w:marTop w:val="0"/>
      <w:marBottom w:val="0"/>
      <w:divBdr>
        <w:top w:val="none" w:sz="0" w:space="0" w:color="auto"/>
        <w:left w:val="none" w:sz="0" w:space="0" w:color="auto"/>
        <w:bottom w:val="none" w:sz="0" w:space="0" w:color="auto"/>
        <w:right w:val="none" w:sz="0" w:space="0" w:color="auto"/>
      </w:divBdr>
    </w:div>
    <w:div w:id="1833325278">
      <w:bodyDiv w:val="1"/>
      <w:marLeft w:val="0"/>
      <w:marRight w:val="0"/>
      <w:marTop w:val="0"/>
      <w:marBottom w:val="0"/>
      <w:divBdr>
        <w:top w:val="none" w:sz="0" w:space="0" w:color="auto"/>
        <w:left w:val="none" w:sz="0" w:space="0" w:color="auto"/>
        <w:bottom w:val="none" w:sz="0" w:space="0" w:color="auto"/>
        <w:right w:val="none" w:sz="0" w:space="0" w:color="auto"/>
      </w:divBdr>
    </w:div>
    <w:div w:id="1852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lcostsfinder.health.gov.au/resources"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gov.au/committees-and-groups/ministerial-advisory-committee-on-out-of-pocket-costs" TargetMode="External"/><Relationship Id="rId7" Type="http://schemas.openxmlformats.org/officeDocument/2006/relationships/settings" Target="settings.xml"/><Relationship Id="rId12" Type="http://schemas.openxmlformats.org/officeDocument/2006/relationships/hyperlink" Target="https://medicalcostsfinder.health.gov.au/" TargetMode="External"/><Relationship Id="rId17" Type="http://schemas.openxmlformats.org/officeDocument/2006/relationships/hyperlink" Target="https://medicalcostsfinder.health.gov.au/resources/guide-for-patients-choosing-a-speciali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calcostsfinder.health.gov.au/resources/guide-to-out-of-pocket-medical-costs" TargetMode="External"/><Relationship Id="rId20" Type="http://schemas.openxmlformats.org/officeDocument/2006/relationships/hyperlink" Target="https://pubmed.ncbi.nlm.nih.gov/255895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com.au/articles/informed-financial-cons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edicalcostsfinder.health.gov.au/resources/private-specialist-treatment-journe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ma.com.au/articles/informed-financial-cons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lcostsfinder.health.gov.au/resources" TargetMode="External"/><Relationship Id="rId22" Type="http://schemas.openxmlformats.org/officeDocument/2006/relationships/hyperlink" Target="https://federalfinancialrelations.gov.au/sites/federalfinancialrelations.gov.au/files/2021-07/NHRA_2020-25_Addendum_consolidated.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e8649c-ec3c-43b4-8224-c17e343ffa73" xsi:nil="true"/>
    <lcf76f155ced4ddcb4097134ff3c332f xmlns="41aaf208-685b-444c-b132-67ad9bb5cd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F8C613E05C6E4FB9D41C1D7E3AE369" ma:contentTypeVersion="11" ma:contentTypeDescription="Create a new document." ma:contentTypeScope="" ma:versionID="ad7382d01cc3373befe23846c1ac634c">
  <xsd:schema xmlns:xsd="http://www.w3.org/2001/XMLSchema" xmlns:xs="http://www.w3.org/2001/XMLSchema" xmlns:p="http://schemas.microsoft.com/office/2006/metadata/properties" xmlns:ns2="41aaf208-685b-444c-b132-67ad9bb5cdf8" xmlns:ns3="f3e8649c-ec3c-43b4-8224-c17e343ffa73" targetNamespace="http://schemas.microsoft.com/office/2006/metadata/properties" ma:root="true" ma:fieldsID="66c295311fd6135a47f684011394831d" ns2:_="" ns3:_="">
    <xsd:import namespace="41aaf208-685b-444c-b132-67ad9bb5cdf8"/>
    <xsd:import namespace="f3e8649c-ec3c-43b4-8224-c17e343ff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af208-685b-444c-b132-67ad9bb5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8649c-ec3c-43b4-8224-c17e343ff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ac1270-9ffa-4966-bb53-4faaec7ed778}" ma:internalName="TaxCatchAll" ma:showField="CatchAllData" ma:web="f3e8649c-ec3c-43b4-8224-c17e343ff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AD8C5-1475-44C0-AEF8-6778CFBE7B58}">
  <ds:schemaRefs>
    <ds:schemaRef ds:uri="http://schemas.openxmlformats.org/officeDocument/2006/bibliography"/>
  </ds:schemaRefs>
</ds:datastoreItem>
</file>

<file path=customXml/itemProps2.xml><?xml version="1.0" encoding="utf-8"?>
<ds:datastoreItem xmlns:ds="http://schemas.openxmlformats.org/officeDocument/2006/customXml" ds:itemID="{BB6A5371-AFF8-4D27-A3D8-77D1BA6A4464}">
  <ds:schemaRefs>
    <ds:schemaRef ds:uri="http://schemas.microsoft.com/office/2006/metadata/properties"/>
    <ds:schemaRef ds:uri="http://schemas.microsoft.com/office/infopath/2007/PartnerControls"/>
    <ds:schemaRef ds:uri="5a772cae-a7cd-40ac-944a-b4cfbe2b86d3"/>
    <ds:schemaRef ds:uri="a46583d4-08ec-45ab-887a-9c71c69cbdb0"/>
  </ds:schemaRefs>
</ds:datastoreItem>
</file>

<file path=customXml/itemProps3.xml><?xml version="1.0" encoding="utf-8"?>
<ds:datastoreItem xmlns:ds="http://schemas.openxmlformats.org/officeDocument/2006/customXml" ds:itemID="{3EB27620-0DC3-45DD-B14E-BA1B7DCF3BB4}">
  <ds:schemaRefs>
    <ds:schemaRef ds:uri="http://schemas.microsoft.com/sharepoint/v3/contenttype/forms"/>
  </ds:schemaRefs>
</ds:datastoreItem>
</file>

<file path=customXml/itemProps4.xml><?xml version="1.0" encoding="utf-8"?>
<ds:datastoreItem xmlns:ds="http://schemas.openxmlformats.org/officeDocument/2006/customXml" ds:itemID="{C0874CBA-0EB2-477C-BB69-B50C4BD5C9A2}"/>
</file>

<file path=docProps/app.xml><?xml version="1.0" encoding="utf-8"?>
<Properties xmlns="http://schemas.openxmlformats.org/officeDocument/2006/extended-properties" xmlns:vt="http://schemas.openxmlformats.org/officeDocument/2006/docPropsVTypes">
  <Template>Normal.dotm</Template>
  <TotalTime>2</TotalTime>
  <Pages>5</Pages>
  <Words>1485</Words>
  <Characters>8467</Characters>
  <Application>Microsoft Office Word</Application>
  <DocSecurity>0</DocSecurity>
  <Lines>70</Lines>
  <Paragraphs>19</Paragraphs>
  <ScaleCrop>false</ScaleCrop>
  <Company>Department of Health</Company>
  <LinksUpToDate>false</LinksUpToDate>
  <CharactersWithSpaces>9933</CharactersWithSpaces>
  <SharedDoc>false</SharedDoc>
  <HLinks>
    <vt:vector size="48" baseType="variant">
      <vt:variant>
        <vt:i4>4063303</vt:i4>
      </vt:variant>
      <vt:variant>
        <vt:i4>21</vt:i4>
      </vt:variant>
      <vt:variant>
        <vt:i4>0</vt:i4>
      </vt:variant>
      <vt:variant>
        <vt:i4>5</vt:i4>
      </vt:variant>
      <vt:variant>
        <vt:lpwstr>https://federalfinancialrelations.gov.au/sites/federalfinancialrelations.gov.au/files/2021-07/NHRA_2020-25_Addendum_consolidated.pdf</vt:lpwstr>
      </vt:variant>
      <vt:variant>
        <vt:lpwstr/>
      </vt:variant>
      <vt:variant>
        <vt:i4>1114183</vt:i4>
      </vt:variant>
      <vt:variant>
        <vt:i4>18</vt:i4>
      </vt:variant>
      <vt:variant>
        <vt:i4>0</vt:i4>
      </vt:variant>
      <vt:variant>
        <vt:i4>5</vt:i4>
      </vt:variant>
      <vt:variant>
        <vt:lpwstr>http://www.health.gov.au/committees-and-groups/ministerial-advisory-committee-on-out-of-pocket-costs</vt:lpwstr>
      </vt:variant>
      <vt:variant>
        <vt:lpwstr/>
      </vt:variant>
      <vt:variant>
        <vt:i4>65547</vt:i4>
      </vt:variant>
      <vt:variant>
        <vt:i4>15</vt:i4>
      </vt:variant>
      <vt:variant>
        <vt:i4>0</vt:i4>
      </vt:variant>
      <vt:variant>
        <vt:i4>5</vt:i4>
      </vt:variant>
      <vt:variant>
        <vt:lpwstr>https://pubmed.ncbi.nlm.nih.gov/25589523</vt:lpwstr>
      </vt:variant>
      <vt:variant>
        <vt:lpwstr/>
      </vt:variant>
      <vt:variant>
        <vt:i4>983064</vt:i4>
      </vt:variant>
      <vt:variant>
        <vt:i4>12</vt:i4>
      </vt:variant>
      <vt:variant>
        <vt:i4>0</vt:i4>
      </vt:variant>
      <vt:variant>
        <vt:i4>5</vt:i4>
      </vt:variant>
      <vt:variant>
        <vt:lpwstr>http://www.ama.com.au/articles/informed-financial-consent</vt:lpwstr>
      </vt:variant>
      <vt:variant>
        <vt:lpwstr/>
      </vt:variant>
      <vt:variant>
        <vt:i4>6488125</vt:i4>
      </vt:variant>
      <vt:variant>
        <vt:i4>9</vt:i4>
      </vt:variant>
      <vt:variant>
        <vt:i4>0</vt:i4>
      </vt:variant>
      <vt:variant>
        <vt:i4>5</vt:i4>
      </vt:variant>
      <vt:variant>
        <vt:lpwstr>https://medicalcostsfinder.health.gov.au/resources</vt:lpwstr>
      </vt:variant>
      <vt:variant>
        <vt:lpwstr/>
      </vt:variant>
      <vt:variant>
        <vt:i4>6488125</vt:i4>
      </vt:variant>
      <vt:variant>
        <vt:i4>6</vt:i4>
      </vt:variant>
      <vt:variant>
        <vt:i4>0</vt:i4>
      </vt:variant>
      <vt:variant>
        <vt:i4>5</vt:i4>
      </vt:variant>
      <vt:variant>
        <vt:lpwstr>https://medicalcostsfinder.health.gov.au/resources</vt:lpwstr>
      </vt:variant>
      <vt:variant>
        <vt:lpwstr/>
      </vt:variant>
      <vt:variant>
        <vt:i4>458767</vt:i4>
      </vt:variant>
      <vt:variant>
        <vt:i4>3</vt:i4>
      </vt:variant>
      <vt:variant>
        <vt:i4>0</vt:i4>
      </vt:variant>
      <vt:variant>
        <vt:i4>5</vt:i4>
      </vt:variant>
      <vt:variant>
        <vt:lpwstr>https://medicalcostsfinder.health.gov.au/</vt:lpwstr>
      </vt:variant>
      <vt:variant>
        <vt:lpwstr/>
      </vt:variant>
      <vt:variant>
        <vt:i4>7602276</vt:i4>
      </vt:variant>
      <vt:variant>
        <vt:i4>0</vt:i4>
      </vt:variant>
      <vt:variant>
        <vt:i4>0</vt:i4>
      </vt:variant>
      <vt:variant>
        <vt:i4>5</vt:i4>
      </vt:variant>
      <vt:variant>
        <vt:lpwstr>https://www.ama.com.au/articles/informed-financial-consent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for GPs – Referrals to medical specialists</dc:title>
  <dc:subject>Private Health Insurance</dc:subject>
  <dc:creator>Australian Government Department of Health</dc:creator>
  <cp:keywords/>
  <dc:description/>
  <cp:lastModifiedBy>ELSAYED, Hilda</cp:lastModifiedBy>
  <cp:revision>2</cp:revision>
  <dcterms:created xsi:type="dcterms:W3CDTF">2024-01-02T00:22:00Z</dcterms:created>
  <dcterms:modified xsi:type="dcterms:W3CDTF">2024-01-02T00:22:00Z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0x0101007DF8C613E05C6E4FB9D41C1D7E3AE369</vt:lpwstr>
  </property>
  <property fmtid="{D5CDD505-2E9C-101B-9397-08002B2CF9AE}" pid="3" name="MediaServiceImageTags">
    <vt:lpwstr/>
  </property>
  <property fmtid="{D5CDD505-2E9C-101B-9397-08002B2CF9AE}" pid="4" name="Order">
    <vt:r8>5600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